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D889A" w14:textId="77777777" w:rsidR="00F31610" w:rsidRPr="00292440" w:rsidRDefault="00F31610" w:rsidP="0042537D">
      <w:pPr>
        <w:spacing w:before="120" w:after="120"/>
        <w:jc w:val="left"/>
        <w:rPr>
          <w:rFonts w:eastAsia="Times New Roman"/>
          <w:lang w:eastAsia="hu-HU"/>
        </w:rPr>
      </w:pPr>
      <w:r w:rsidRPr="00292440">
        <w:rPr>
          <w:rFonts w:eastAsia="Times New Roman"/>
          <w:i/>
          <w:iCs/>
          <w:u w:val="single"/>
          <w:lang w:eastAsia="hu-HU"/>
        </w:rPr>
        <w:t xml:space="preserve">2. melléklet a 44/2015. (XI. 2.) </w:t>
      </w:r>
      <w:proofErr w:type="spellStart"/>
      <w:r w:rsidRPr="00292440">
        <w:rPr>
          <w:rFonts w:eastAsia="Times New Roman"/>
          <w:i/>
          <w:iCs/>
          <w:u w:val="single"/>
          <w:lang w:eastAsia="hu-HU"/>
        </w:rPr>
        <w:t>MvM</w:t>
      </w:r>
      <w:proofErr w:type="spellEnd"/>
      <w:r w:rsidRPr="00292440">
        <w:rPr>
          <w:rFonts w:eastAsia="Times New Roman"/>
          <w:i/>
          <w:iCs/>
          <w:u w:val="single"/>
          <w:lang w:eastAsia="hu-HU"/>
        </w:rPr>
        <w:t xml:space="preserve"> rendelethez</w:t>
      </w:r>
    </w:p>
    <w:p w14:paraId="31AE7122"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KÖZBESZERZÉSI ÉRTESÍTŐ</w:t>
      </w:r>
    </w:p>
    <w:p w14:paraId="0C37027E" w14:textId="77777777" w:rsidR="00F31610" w:rsidRPr="00292440" w:rsidRDefault="00F31610" w:rsidP="0042537D">
      <w:pPr>
        <w:spacing w:before="120" w:after="120"/>
        <w:ind w:hanging="20"/>
        <w:jc w:val="left"/>
        <w:rPr>
          <w:rFonts w:eastAsia="Times New Roman"/>
          <w:lang w:eastAsia="hu-HU"/>
        </w:rPr>
      </w:pPr>
      <w:r w:rsidRPr="00292440">
        <w:rPr>
          <w:rFonts w:eastAsia="Times New Roman"/>
          <w:lang w:eastAsia="hu-HU"/>
        </w:rPr>
        <w:t>a Közbeszerzési Hatóság Hivatalos Lapja</w:t>
      </w:r>
    </w:p>
    <w:p w14:paraId="356746C9" w14:textId="77777777" w:rsidR="00F31610" w:rsidRPr="00292440" w:rsidRDefault="00F31610" w:rsidP="0042537D">
      <w:pPr>
        <w:spacing w:before="120" w:after="120"/>
        <w:jc w:val="right"/>
        <w:rPr>
          <w:rFonts w:eastAsia="Times New Roman"/>
          <w:lang w:eastAsia="hu-HU"/>
        </w:rPr>
      </w:pPr>
      <w:r w:rsidRPr="00292440">
        <w:rPr>
          <w:rFonts w:eastAsia="Times New Roman"/>
          <w:b/>
          <w:bCs/>
          <w:lang w:eastAsia="hu-HU"/>
        </w:rPr>
        <w:t>Ajánlati/részvételi felhívás</w:t>
      </w:r>
    </w:p>
    <w:p w14:paraId="56134A89" w14:textId="77777777" w:rsidR="00F31610" w:rsidRPr="00292440" w:rsidRDefault="00F31610" w:rsidP="0042537D">
      <w:pPr>
        <w:spacing w:before="120" w:after="120"/>
        <w:jc w:val="right"/>
        <w:rPr>
          <w:rFonts w:eastAsia="Times New Roman"/>
          <w:lang w:eastAsia="hu-HU"/>
        </w:rPr>
      </w:pPr>
      <w:r w:rsidRPr="00292440">
        <w:rPr>
          <w:rFonts w:eastAsia="Times New Roman"/>
          <w:i/>
          <w:iCs/>
          <w:lang w:eastAsia="hu-HU"/>
        </w:rPr>
        <w:t>A Kbt. 112. § (1) bekezdés b) pont szerinti eljárások esetében.</w:t>
      </w:r>
    </w:p>
    <w:p w14:paraId="3D1F487B"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 szakasz: Ajánlatkérő</w:t>
      </w:r>
    </w:p>
    <w:p w14:paraId="742C60EF"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 xml:space="preserve">I.1) Név és címek </w:t>
      </w:r>
      <w:r w:rsidRPr="00292440">
        <w:rPr>
          <w:rFonts w:eastAsia="Times New Roman"/>
          <w:vertAlign w:val="superscript"/>
          <w:lang w:eastAsia="hu-HU"/>
        </w:rPr>
        <w:t>1</w:t>
      </w:r>
      <w:r w:rsidRPr="00292440">
        <w:rPr>
          <w:rFonts w:eastAsia="Times New Roman"/>
          <w:lang w:eastAsia="hu-HU"/>
        </w:rPr>
        <w:t xml:space="preserve"> </w:t>
      </w:r>
      <w:r w:rsidRPr="00292440">
        <w:rPr>
          <w:rFonts w:eastAsia="Times New Roman"/>
          <w:i/>
          <w:iCs/>
          <w:lang w:eastAsia="hu-HU"/>
        </w:rPr>
        <w:t>(jelölje meg az eljárásért felelős összes ajánlatkérőt)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2393"/>
        <w:gridCol w:w="2412"/>
        <w:gridCol w:w="2419"/>
      </w:tblGrid>
      <w:tr w:rsidR="00C76E46" w:rsidRPr="00C76E46" w14:paraId="41B8CCED" w14:textId="77777777" w:rsidTr="00A84184">
        <w:tc>
          <w:tcPr>
            <w:tcW w:w="7333" w:type="dxa"/>
            <w:gridSpan w:val="3"/>
          </w:tcPr>
          <w:p w14:paraId="658FB140" w14:textId="77777777" w:rsidR="0092371D" w:rsidRPr="00C76E46" w:rsidRDefault="0092371D" w:rsidP="00A84184">
            <w:pPr>
              <w:spacing w:before="120" w:after="120"/>
              <w:jc w:val="left"/>
              <w:rPr>
                <w:b/>
              </w:rPr>
            </w:pPr>
            <w:r w:rsidRPr="00C76E46">
              <w:rPr>
                <w:rFonts w:eastAsia="MyriadPro-Light"/>
                <w:lang w:eastAsia="hu-HU"/>
              </w:rPr>
              <w:t>Hivatalos név:</w:t>
            </w:r>
            <w:r w:rsidRPr="00C76E46">
              <w:rPr>
                <w:b/>
              </w:rPr>
              <w:t xml:space="preserve"> </w:t>
            </w:r>
          </w:p>
          <w:p w14:paraId="548FCAFA" w14:textId="77777777" w:rsidR="0092371D" w:rsidRPr="00C76E46" w:rsidRDefault="00054F9C" w:rsidP="00054F9C">
            <w:pPr>
              <w:spacing w:before="120" w:after="120"/>
              <w:jc w:val="left"/>
              <w:rPr>
                <w:rFonts w:eastAsia="MyriadPro-LightIt"/>
                <w:b/>
                <w:iCs/>
                <w:lang w:eastAsia="hu-HU"/>
              </w:rPr>
            </w:pPr>
            <w:r>
              <w:rPr>
                <w:rFonts w:eastAsia="DejaVuSerif"/>
              </w:rPr>
              <w:t>Csanytelek K</w:t>
            </w:r>
            <w:r w:rsidR="008014CA">
              <w:rPr>
                <w:rFonts w:eastAsia="DejaVuSerif"/>
              </w:rPr>
              <w:t>özség Önkormányzata</w:t>
            </w:r>
          </w:p>
        </w:tc>
        <w:tc>
          <w:tcPr>
            <w:tcW w:w="2445" w:type="dxa"/>
          </w:tcPr>
          <w:p w14:paraId="2B6AB3C9" w14:textId="77777777" w:rsidR="0092371D" w:rsidRPr="00C76E46" w:rsidRDefault="0092371D" w:rsidP="00A84184">
            <w:pPr>
              <w:spacing w:before="120" w:after="120"/>
              <w:jc w:val="left"/>
              <w:rPr>
                <w:rFonts w:eastAsia="MyriadPro-Light"/>
                <w:lang w:eastAsia="hu-HU"/>
              </w:rPr>
            </w:pPr>
            <w:r w:rsidRPr="00C76E46">
              <w:rPr>
                <w:rFonts w:eastAsia="MyriadPro-Light"/>
                <w:lang w:eastAsia="hu-HU"/>
              </w:rPr>
              <w:t xml:space="preserve">Nemzeti azonosítószám: </w:t>
            </w:r>
          </w:p>
          <w:p w14:paraId="377FED21" w14:textId="77777777" w:rsidR="0092371D" w:rsidRPr="00C76E46" w:rsidRDefault="00D1311A" w:rsidP="00A84184">
            <w:pPr>
              <w:spacing w:before="120" w:after="120"/>
              <w:jc w:val="left"/>
              <w:rPr>
                <w:rFonts w:eastAsia="MyriadPro-LightIt"/>
                <w:iCs/>
                <w:lang w:eastAsia="hu-HU"/>
              </w:rPr>
            </w:pPr>
            <w:r w:rsidRPr="00D1311A">
              <w:rPr>
                <w:rFonts w:eastAsia="MyriadPro-Light"/>
                <w:lang w:eastAsia="hu-HU"/>
              </w:rPr>
              <w:t>15726748206</w:t>
            </w:r>
          </w:p>
        </w:tc>
      </w:tr>
      <w:tr w:rsidR="00C76E46" w:rsidRPr="00C76E46" w14:paraId="655EC834" w14:textId="77777777" w:rsidTr="00A84184">
        <w:tc>
          <w:tcPr>
            <w:tcW w:w="9778" w:type="dxa"/>
            <w:gridSpan w:val="4"/>
          </w:tcPr>
          <w:p w14:paraId="699A73F1" w14:textId="77777777" w:rsidR="0092371D" w:rsidRPr="00C76E46" w:rsidRDefault="0092371D" w:rsidP="001C6703">
            <w:pPr>
              <w:spacing w:before="120" w:after="120"/>
              <w:jc w:val="left"/>
              <w:rPr>
                <w:rFonts w:eastAsia="MyriadPro-LightIt"/>
                <w:iCs/>
                <w:lang w:eastAsia="hu-HU"/>
              </w:rPr>
            </w:pPr>
            <w:r w:rsidRPr="00C76E46">
              <w:rPr>
                <w:rFonts w:eastAsia="MyriadPro-Light"/>
                <w:lang w:eastAsia="hu-HU"/>
              </w:rPr>
              <w:t>Postai cím:</w:t>
            </w:r>
            <w:r w:rsidRPr="00C76E46">
              <w:t xml:space="preserve"> </w:t>
            </w:r>
            <w:proofErr w:type="spellStart"/>
            <w:r w:rsidR="00054F9C">
              <w:t>Volentér</w:t>
            </w:r>
            <w:proofErr w:type="spellEnd"/>
            <w:r w:rsidR="00054F9C">
              <w:t xml:space="preserve"> János Tér 2.</w:t>
            </w:r>
          </w:p>
        </w:tc>
      </w:tr>
      <w:tr w:rsidR="00C76E46" w:rsidRPr="00C76E46" w14:paraId="2457CB7F" w14:textId="77777777" w:rsidTr="00A84184">
        <w:tc>
          <w:tcPr>
            <w:tcW w:w="2444" w:type="dxa"/>
          </w:tcPr>
          <w:p w14:paraId="00336310" w14:textId="77777777" w:rsidR="0092371D" w:rsidRPr="00C76E46" w:rsidRDefault="0092371D" w:rsidP="00054F9C">
            <w:pPr>
              <w:spacing w:before="120" w:after="120"/>
              <w:jc w:val="left"/>
              <w:rPr>
                <w:rFonts w:eastAsia="MyriadPro-LightIt"/>
                <w:iCs/>
                <w:lang w:eastAsia="hu-HU"/>
              </w:rPr>
            </w:pPr>
            <w:r w:rsidRPr="00C76E46">
              <w:rPr>
                <w:rFonts w:eastAsia="MyriadPro-Light"/>
                <w:lang w:eastAsia="hu-HU"/>
              </w:rPr>
              <w:t xml:space="preserve">Város: </w:t>
            </w:r>
            <w:r w:rsidR="00054F9C">
              <w:t>Csanytelek</w:t>
            </w:r>
          </w:p>
        </w:tc>
        <w:tc>
          <w:tcPr>
            <w:tcW w:w="2445" w:type="dxa"/>
          </w:tcPr>
          <w:p w14:paraId="4E6C0D11" w14:textId="77777777" w:rsidR="0092371D" w:rsidRPr="00C76E46" w:rsidRDefault="0092371D" w:rsidP="00A84184">
            <w:pPr>
              <w:spacing w:before="120" w:after="120"/>
              <w:jc w:val="left"/>
              <w:rPr>
                <w:rFonts w:eastAsia="MyriadPro-LightIt"/>
                <w:iCs/>
                <w:lang w:eastAsia="hu-HU"/>
              </w:rPr>
            </w:pPr>
            <w:r w:rsidRPr="00C76E46">
              <w:rPr>
                <w:rFonts w:eastAsia="MyriadPro-Light"/>
                <w:lang w:eastAsia="hu-HU"/>
              </w:rPr>
              <w:t xml:space="preserve">NUTS-kód: </w:t>
            </w:r>
            <w:r w:rsidRPr="00C76E46">
              <w:t>HU33</w:t>
            </w:r>
            <w:r w:rsidR="005A1737">
              <w:t>3</w:t>
            </w:r>
          </w:p>
        </w:tc>
        <w:tc>
          <w:tcPr>
            <w:tcW w:w="2444" w:type="dxa"/>
          </w:tcPr>
          <w:p w14:paraId="223E1E1F" w14:textId="77777777" w:rsidR="0092371D" w:rsidRPr="00C76E46" w:rsidRDefault="0092371D" w:rsidP="00054F9C">
            <w:pPr>
              <w:spacing w:before="120" w:after="120"/>
              <w:jc w:val="left"/>
              <w:rPr>
                <w:rFonts w:eastAsia="MyriadPro-LightIt"/>
                <w:iCs/>
                <w:lang w:eastAsia="hu-HU"/>
              </w:rPr>
            </w:pPr>
            <w:r w:rsidRPr="00C76E46">
              <w:rPr>
                <w:rFonts w:eastAsia="MyriadPro-Light"/>
                <w:lang w:eastAsia="hu-HU"/>
              </w:rPr>
              <w:t>Postai irányítószám:</w:t>
            </w:r>
            <w:r w:rsidRPr="00C76E46">
              <w:t xml:space="preserve"> </w:t>
            </w:r>
            <w:r w:rsidR="008014CA">
              <w:t>6</w:t>
            </w:r>
            <w:r w:rsidR="00054F9C">
              <w:t>647</w:t>
            </w:r>
          </w:p>
        </w:tc>
        <w:tc>
          <w:tcPr>
            <w:tcW w:w="2445" w:type="dxa"/>
          </w:tcPr>
          <w:p w14:paraId="44163E10" w14:textId="77777777" w:rsidR="0092371D" w:rsidRPr="00C76E46" w:rsidRDefault="0092371D" w:rsidP="00A84184">
            <w:pPr>
              <w:spacing w:before="120" w:after="120"/>
              <w:jc w:val="left"/>
              <w:rPr>
                <w:rFonts w:eastAsia="MyriadPro-LightIt"/>
                <w:iCs/>
                <w:lang w:eastAsia="hu-HU"/>
              </w:rPr>
            </w:pPr>
            <w:r w:rsidRPr="00C76E46">
              <w:rPr>
                <w:rFonts w:eastAsia="MyriadPro-Light"/>
                <w:lang w:eastAsia="hu-HU"/>
              </w:rPr>
              <w:t>Ország: Magyarország</w:t>
            </w:r>
          </w:p>
        </w:tc>
      </w:tr>
      <w:tr w:rsidR="00C76E46" w:rsidRPr="00C76E46" w14:paraId="5C33FFAD" w14:textId="77777777" w:rsidTr="00A84184">
        <w:tc>
          <w:tcPr>
            <w:tcW w:w="7333" w:type="dxa"/>
            <w:gridSpan w:val="3"/>
          </w:tcPr>
          <w:p w14:paraId="57269F40" w14:textId="77777777" w:rsidR="0092371D" w:rsidRPr="00C76E46" w:rsidRDefault="0092371D" w:rsidP="00054F9C">
            <w:pPr>
              <w:spacing w:before="120" w:after="120"/>
              <w:jc w:val="left"/>
              <w:rPr>
                <w:rFonts w:eastAsia="MyriadPro-LightIt"/>
                <w:iCs/>
                <w:lang w:eastAsia="hu-HU"/>
              </w:rPr>
            </w:pPr>
            <w:r w:rsidRPr="00C76E46">
              <w:rPr>
                <w:rFonts w:eastAsia="MyriadPro-Light"/>
                <w:lang w:eastAsia="hu-HU"/>
              </w:rPr>
              <w:t xml:space="preserve">Kapcsolattartó személy: </w:t>
            </w:r>
            <w:r w:rsidR="00054F9C">
              <w:rPr>
                <w:lang w:eastAsia="hu-HU"/>
              </w:rPr>
              <w:t xml:space="preserve">Erhard Gyula </w:t>
            </w:r>
            <w:r w:rsidR="00011C2C">
              <w:rPr>
                <w:lang w:eastAsia="hu-HU"/>
              </w:rPr>
              <w:t>polgármester</w:t>
            </w:r>
          </w:p>
        </w:tc>
        <w:tc>
          <w:tcPr>
            <w:tcW w:w="2445" w:type="dxa"/>
          </w:tcPr>
          <w:p w14:paraId="7FB84B77" w14:textId="1E13E7A6" w:rsidR="0092371D" w:rsidRPr="00E4450F" w:rsidRDefault="0092371D" w:rsidP="00054F9C">
            <w:pPr>
              <w:spacing w:before="120" w:after="120"/>
              <w:jc w:val="left"/>
              <w:rPr>
                <w:rFonts w:eastAsia="MyriadPro-LightIt"/>
                <w:iCs/>
                <w:lang w:eastAsia="hu-HU"/>
              </w:rPr>
            </w:pPr>
            <w:r w:rsidRPr="00E4450F">
              <w:rPr>
                <w:rFonts w:eastAsia="MyriadPro-Light"/>
                <w:lang w:eastAsia="hu-HU"/>
              </w:rPr>
              <w:t xml:space="preserve">Telefon: </w:t>
            </w:r>
            <w:r w:rsidR="00FB0C97" w:rsidRPr="00054F9C">
              <w:rPr>
                <w:rFonts w:eastAsia="MyriadPro-Light"/>
                <w:lang w:eastAsia="hu-HU"/>
              </w:rPr>
              <w:t xml:space="preserve">+36 </w:t>
            </w:r>
            <w:r w:rsidR="00054F9C" w:rsidRPr="00054F9C">
              <w:rPr>
                <w:rFonts w:eastAsia="MyriadPro-Light"/>
                <w:lang w:eastAsia="hu-HU"/>
              </w:rPr>
              <w:t>63578510</w:t>
            </w:r>
          </w:p>
        </w:tc>
      </w:tr>
      <w:tr w:rsidR="00C76E46" w:rsidRPr="00C76E46" w14:paraId="299F6563" w14:textId="77777777" w:rsidTr="00A84184">
        <w:tc>
          <w:tcPr>
            <w:tcW w:w="7333" w:type="dxa"/>
            <w:gridSpan w:val="3"/>
          </w:tcPr>
          <w:p w14:paraId="51E47BF8" w14:textId="77777777" w:rsidR="0092371D" w:rsidRPr="00D1311A" w:rsidRDefault="0092371D" w:rsidP="00054F9C">
            <w:pPr>
              <w:spacing w:before="120" w:after="120"/>
              <w:jc w:val="left"/>
              <w:rPr>
                <w:rFonts w:eastAsia="MyriadPro-LightIt"/>
                <w:iCs/>
                <w:lang w:eastAsia="hu-HU"/>
              </w:rPr>
            </w:pPr>
            <w:r w:rsidRPr="00D1311A">
              <w:rPr>
                <w:rFonts w:eastAsia="MyriadPro-Light"/>
                <w:lang w:eastAsia="hu-HU"/>
              </w:rPr>
              <w:t xml:space="preserve">E-mail: </w:t>
            </w:r>
            <w:r w:rsidR="00054F9C" w:rsidRPr="00D1311A">
              <w:rPr>
                <w:rFonts w:eastAsia="MyriadPro-Light"/>
                <w:lang w:eastAsia="hu-HU"/>
              </w:rPr>
              <w:t>csanytelek</w:t>
            </w:r>
            <w:r w:rsidR="00E4450F" w:rsidRPr="00D1311A">
              <w:rPr>
                <w:rFonts w:eastAsia="MyriadPro-Light"/>
                <w:lang w:eastAsia="hu-HU"/>
              </w:rPr>
              <w:t>@</w:t>
            </w:r>
            <w:r w:rsidR="00054F9C" w:rsidRPr="00D1311A">
              <w:rPr>
                <w:rFonts w:eastAsia="MyriadPro-Light"/>
                <w:lang w:eastAsia="hu-HU"/>
              </w:rPr>
              <w:t>csanytelek</w:t>
            </w:r>
            <w:r w:rsidR="00E4450F" w:rsidRPr="00D1311A">
              <w:rPr>
                <w:rFonts w:eastAsia="MyriadPro-Light"/>
                <w:lang w:eastAsia="hu-HU"/>
              </w:rPr>
              <w:t>.hu</w:t>
            </w:r>
          </w:p>
        </w:tc>
        <w:tc>
          <w:tcPr>
            <w:tcW w:w="2445" w:type="dxa"/>
          </w:tcPr>
          <w:p w14:paraId="4574B70E" w14:textId="7CAA90AF" w:rsidR="0092371D" w:rsidRPr="00E4450F" w:rsidRDefault="0092371D" w:rsidP="001C6703">
            <w:pPr>
              <w:spacing w:before="120" w:after="120"/>
              <w:jc w:val="left"/>
              <w:rPr>
                <w:rFonts w:eastAsia="MyriadPro-LightIt"/>
                <w:iCs/>
                <w:lang w:eastAsia="hu-HU"/>
              </w:rPr>
            </w:pPr>
            <w:r w:rsidRPr="00E4450F">
              <w:rPr>
                <w:rFonts w:eastAsia="MyriadPro-Light"/>
                <w:lang w:eastAsia="hu-HU"/>
              </w:rPr>
              <w:t xml:space="preserve">Fax: </w:t>
            </w:r>
            <w:r w:rsidR="00FB0C97" w:rsidRPr="00054F9C">
              <w:rPr>
                <w:rFonts w:eastAsia="MyriadPro-Light"/>
                <w:lang w:eastAsia="hu-HU"/>
              </w:rPr>
              <w:t xml:space="preserve">+36 </w:t>
            </w:r>
            <w:r w:rsidR="00054F9C" w:rsidRPr="00054F9C">
              <w:rPr>
                <w:rFonts w:eastAsia="MyriadPro-Light"/>
                <w:lang w:eastAsia="hu-HU"/>
              </w:rPr>
              <w:t>63578517</w:t>
            </w:r>
          </w:p>
        </w:tc>
      </w:tr>
      <w:tr w:rsidR="00C76E46" w:rsidRPr="00C76E46" w14:paraId="3937801F" w14:textId="77777777" w:rsidTr="00A84184">
        <w:tc>
          <w:tcPr>
            <w:tcW w:w="9778" w:type="dxa"/>
            <w:gridSpan w:val="4"/>
          </w:tcPr>
          <w:p w14:paraId="63013D83" w14:textId="77777777" w:rsidR="0092371D" w:rsidRPr="00D1311A" w:rsidRDefault="0092371D" w:rsidP="00A84184">
            <w:pPr>
              <w:autoSpaceDE w:val="0"/>
              <w:autoSpaceDN w:val="0"/>
              <w:adjustRightInd w:val="0"/>
              <w:spacing w:before="120" w:after="120"/>
              <w:jc w:val="left"/>
              <w:rPr>
                <w:rFonts w:eastAsia="MyriadPro-Semibold"/>
                <w:b/>
                <w:lang w:eastAsia="hu-HU"/>
              </w:rPr>
            </w:pPr>
            <w:r w:rsidRPr="00D1311A">
              <w:rPr>
                <w:rFonts w:eastAsia="MyriadPro-Semibold"/>
                <w:b/>
                <w:lang w:eastAsia="hu-HU"/>
              </w:rPr>
              <w:t>Internetcím(</w:t>
            </w:r>
            <w:proofErr w:type="spellStart"/>
            <w:r w:rsidRPr="00D1311A">
              <w:rPr>
                <w:rFonts w:eastAsia="MyriadPro-Semibold"/>
                <w:b/>
                <w:lang w:eastAsia="hu-HU"/>
              </w:rPr>
              <w:t>ek</w:t>
            </w:r>
            <w:proofErr w:type="spellEnd"/>
            <w:r w:rsidRPr="00D1311A">
              <w:rPr>
                <w:rFonts w:eastAsia="MyriadPro-Semibold"/>
                <w:b/>
                <w:lang w:eastAsia="hu-HU"/>
              </w:rPr>
              <w:t>)</w:t>
            </w:r>
          </w:p>
          <w:p w14:paraId="41A1AD6C" w14:textId="77777777" w:rsidR="0092371D" w:rsidRPr="00D1311A" w:rsidRDefault="0092371D" w:rsidP="00A84184">
            <w:pPr>
              <w:autoSpaceDE w:val="0"/>
              <w:autoSpaceDN w:val="0"/>
              <w:adjustRightInd w:val="0"/>
              <w:spacing w:before="120" w:after="120"/>
              <w:jc w:val="left"/>
              <w:rPr>
                <w:rFonts w:eastAsia="MyriadPro-Light"/>
                <w:lang w:eastAsia="hu-HU"/>
              </w:rPr>
            </w:pPr>
            <w:r w:rsidRPr="00D1311A">
              <w:rPr>
                <w:rFonts w:eastAsia="MyriadPro-Light"/>
                <w:lang w:eastAsia="hu-HU"/>
              </w:rPr>
              <w:t xml:space="preserve">Az ajánlatkérő általános címe: </w:t>
            </w:r>
            <w:r w:rsidRPr="00D1311A">
              <w:rPr>
                <w:rFonts w:eastAsia="MyriadPro-LightIt"/>
                <w:i/>
                <w:iCs/>
                <w:lang w:eastAsia="hu-HU"/>
              </w:rPr>
              <w:t>(URL</w:t>
            </w:r>
            <w:r w:rsidR="00F045E6" w:rsidRPr="00D1311A">
              <w:rPr>
                <w:rFonts w:eastAsia="MyriadPro-LightIt"/>
                <w:i/>
                <w:iCs/>
              </w:rPr>
              <w:t>) www</w:t>
            </w:r>
            <w:r w:rsidR="00E4450F" w:rsidRPr="00D1311A">
              <w:rPr>
                <w:rFonts w:eastAsia="MyriadPro-LightIt"/>
                <w:i/>
                <w:iCs/>
              </w:rPr>
              <w:t>.</w:t>
            </w:r>
            <w:r w:rsidR="00054F9C" w:rsidRPr="00D1311A">
              <w:rPr>
                <w:rFonts w:eastAsia="MyriadPro-LightIt"/>
                <w:i/>
                <w:iCs/>
              </w:rPr>
              <w:t>csanytelek</w:t>
            </w:r>
            <w:r w:rsidR="00E4450F" w:rsidRPr="00D1311A">
              <w:rPr>
                <w:rFonts w:eastAsia="MyriadPro-LightIt"/>
                <w:i/>
                <w:iCs/>
              </w:rPr>
              <w:t>.hu</w:t>
            </w:r>
          </w:p>
          <w:p w14:paraId="7286D21C" w14:textId="77777777" w:rsidR="0092371D" w:rsidRPr="00D1311A" w:rsidRDefault="0092371D" w:rsidP="00A84184">
            <w:pPr>
              <w:autoSpaceDE w:val="0"/>
              <w:autoSpaceDN w:val="0"/>
              <w:adjustRightInd w:val="0"/>
              <w:spacing w:before="120" w:after="120"/>
              <w:jc w:val="left"/>
              <w:rPr>
                <w:rFonts w:eastAsia="MyriadPro-LightIt"/>
                <w:iCs/>
                <w:lang w:eastAsia="hu-HU"/>
              </w:rPr>
            </w:pPr>
            <w:r w:rsidRPr="00D1311A">
              <w:rPr>
                <w:rFonts w:eastAsia="MyriadPro-Light"/>
                <w:lang w:eastAsia="hu-HU"/>
              </w:rPr>
              <w:t xml:space="preserve">A felhasználói oldal címe: </w:t>
            </w:r>
            <w:r w:rsidRPr="00D1311A">
              <w:rPr>
                <w:rFonts w:eastAsia="MyriadPro-LightIt"/>
                <w:i/>
                <w:iCs/>
                <w:lang w:eastAsia="hu-HU"/>
              </w:rPr>
              <w:t>(URL)</w:t>
            </w:r>
          </w:p>
        </w:tc>
      </w:tr>
    </w:tbl>
    <w:p w14:paraId="213AFA28"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I.2) Közös közbeszerzés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292440" w:rsidRPr="00292440" w14:paraId="2C1662FC" w14:textId="77777777" w:rsidTr="00F31610">
        <w:tc>
          <w:tcPr>
            <w:tcW w:w="0" w:type="auto"/>
            <w:hideMark/>
          </w:tcPr>
          <w:p w14:paraId="6E9BA2A6"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A szerződés közös közbeszerzés formájában valósul meg.</w:t>
            </w:r>
          </w:p>
          <w:p w14:paraId="63BBBD81" w14:textId="77777777" w:rsidR="00F31610" w:rsidRPr="00292440" w:rsidRDefault="00F31610" w:rsidP="0042537D">
            <w:pPr>
              <w:spacing w:before="120" w:after="120"/>
              <w:ind w:left="380"/>
              <w:jc w:val="left"/>
              <w:rPr>
                <w:rFonts w:eastAsia="Times New Roman"/>
                <w:lang w:eastAsia="hu-HU"/>
              </w:rPr>
            </w:pPr>
            <w:r w:rsidRPr="00292440">
              <w:rPr>
                <w:rFonts w:eastAsia="Times New Roman"/>
                <w:lang w:eastAsia="hu-HU"/>
              </w:rPr>
              <w:t> Meghatalmazott ajánlatkérő nélkül.</w:t>
            </w:r>
          </w:p>
          <w:p w14:paraId="3461D9CD" w14:textId="77777777" w:rsidR="00F31610" w:rsidRPr="00292440" w:rsidRDefault="00F31610" w:rsidP="0042537D">
            <w:pPr>
              <w:spacing w:before="120" w:after="120"/>
              <w:ind w:left="380"/>
              <w:jc w:val="left"/>
              <w:rPr>
                <w:rFonts w:eastAsia="Times New Roman"/>
                <w:lang w:eastAsia="hu-HU"/>
              </w:rPr>
            </w:pPr>
            <w:r w:rsidRPr="00292440">
              <w:rPr>
                <w:rFonts w:eastAsia="Times New Roman"/>
                <w:lang w:eastAsia="hu-HU"/>
              </w:rPr>
              <w:t xml:space="preserve"> Az I.1) pontban feltüntetett ajánlatkérők közül meghatalmazott ajánlatkérő: </w:t>
            </w:r>
            <w:r w:rsidRPr="00292440">
              <w:rPr>
                <w:rFonts w:eastAsia="Times New Roman"/>
                <w:i/>
                <w:iCs/>
                <w:lang w:eastAsia="hu-HU"/>
              </w:rPr>
              <w:t>(adja meg ajánlatkérő nevét)</w:t>
            </w:r>
          </w:p>
          <w:p w14:paraId="28ED6271" w14:textId="77777777" w:rsidR="00F31610" w:rsidRPr="00292440" w:rsidRDefault="00F31610" w:rsidP="0042537D">
            <w:pPr>
              <w:spacing w:before="120" w:after="120"/>
              <w:ind w:left="560" w:hanging="180"/>
              <w:jc w:val="left"/>
              <w:rPr>
                <w:rFonts w:eastAsia="Times New Roman"/>
                <w:lang w:eastAsia="hu-HU"/>
              </w:rPr>
            </w:pPr>
            <w:r w:rsidRPr="00292440">
              <w:rPr>
                <w:rFonts w:eastAsia="Times New Roman"/>
                <w:lang w:eastAsia="hu-HU"/>
              </w:rPr>
              <w:t xml:space="preserve"> Ajánlatkérőnek minősülő meghatalmazott szervezet, mely az I.1) pontban nem került feltüntetésre: </w:t>
            </w:r>
            <w:r w:rsidRPr="00292440">
              <w:rPr>
                <w:rFonts w:eastAsia="Times New Roman"/>
                <w:i/>
                <w:iCs/>
                <w:lang w:eastAsia="hu-HU"/>
              </w:rPr>
              <w:t>(adja meg a szerződést nem kötő ajánlatkérőnek minősülő szervezet nevét, címét és azonosítószámát)</w:t>
            </w:r>
          </w:p>
          <w:p w14:paraId="35E66224"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Több ország részvételével megvalósuló közös közbeszerzés.</w:t>
            </w:r>
          </w:p>
          <w:p w14:paraId="624FD7CB"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A szerződést központi beszerző szerv ítéli oda.</w:t>
            </w:r>
          </w:p>
        </w:tc>
      </w:tr>
    </w:tbl>
    <w:p w14:paraId="71E02806"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I.3) Kommunikáció</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292440" w:rsidRPr="00292440" w14:paraId="61534ED6" w14:textId="77777777" w:rsidTr="00F31610">
        <w:tc>
          <w:tcPr>
            <w:tcW w:w="0" w:type="auto"/>
            <w:hideMark/>
          </w:tcPr>
          <w:p w14:paraId="3F6C5D26" w14:textId="77777777" w:rsidR="0092371D" w:rsidRPr="00292440" w:rsidRDefault="00525CC8" w:rsidP="0092371D">
            <w:pPr>
              <w:spacing w:before="120" w:after="120"/>
              <w:jc w:val="left"/>
              <w:rPr>
                <w:rFonts w:eastAsia="MyriadPro-Light"/>
                <w:bCs/>
                <w:i/>
                <w:lang w:eastAsia="hu-HU"/>
              </w:rPr>
            </w:pPr>
            <w:r w:rsidRPr="00292440">
              <w:rPr>
                <w:rFonts w:eastAsia="Times New Roman"/>
                <w:lang w:eastAsia="hu-HU"/>
              </w:rPr>
              <w:t></w:t>
            </w:r>
            <w:r w:rsidR="00F31610" w:rsidRPr="00292440">
              <w:rPr>
                <w:rFonts w:eastAsia="Times New Roman"/>
                <w:lang w:eastAsia="hu-HU"/>
              </w:rPr>
              <w:t xml:space="preserve"> A közbeszerzési dokumentumok korlátozás nélkül, </w:t>
            </w:r>
            <w:proofErr w:type="gramStart"/>
            <w:r w:rsidR="00F31610" w:rsidRPr="00292440">
              <w:rPr>
                <w:rFonts w:eastAsia="Times New Roman"/>
                <w:lang w:eastAsia="hu-HU"/>
              </w:rPr>
              <w:t>teljes körűen</w:t>
            </w:r>
            <w:proofErr w:type="gramEnd"/>
            <w:r w:rsidR="00F31610" w:rsidRPr="00292440">
              <w:rPr>
                <w:rFonts w:eastAsia="Times New Roman"/>
                <w:lang w:eastAsia="hu-HU"/>
              </w:rPr>
              <w:t xml:space="preserve">, közvetlenül és díjmentesen elérhetők a következő címen: </w:t>
            </w:r>
            <w:r w:rsidR="00F31610" w:rsidRPr="00292440">
              <w:rPr>
                <w:rFonts w:eastAsia="Times New Roman"/>
                <w:i/>
                <w:iCs/>
                <w:lang w:eastAsia="hu-HU"/>
              </w:rPr>
              <w:t>(URL)</w:t>
            </w:r>
            <w:r w:rsidR="00B9658C" w:rsidRPr="00292440">
              <w:rPr>
                <w:rFonts w:eastAsia="MyriadPro-Light"/>
                <w:bCs/>
                <w:i/>
                <w:lang w:eastAsia="hu-HU"/>
              </w:rPr>
              <w:t xml:space="preserve"> ..................</w:t>
            </w:r>
          </w:p>
          <w:p w14:paraId="3B3E5518" w14:textId="77777777" w:rsidR="00F31610" w:rsidRPr="00292440" w:rsidRDefault="00F31610" w:rsidP="0092371D">
            <w:pPr>
              <w:spacing w:before="120" w:after="120"/>
              <w:jc w:val="left"/>
              <w:rPr>
                <w:rFonts w:eastAsia="Times New Roman"/>
                <w:lang w:eastAsia="hu-HU"/>
              </w:rPr>
            </w:pPr>
            <w:r w:rsidRPr="00292440">
              <w:rPr>
                <w:rFonts w:eastAsia="Times New Roman"/>
                <w:lang w:eastAsia="hu-HU"/>
              </w:rPr>
              <w:t xml:space="preserve"> A közbeszerzési dokumentumokhoz történő hozzáférés korlátozott. További információ a következő helyről érhető el: </w:t>
            </w:r>
            <w:r w:rsidRPr="00292440">
              <w:rPr>
                <w:rFonts w:eastAsia="Times New Roman"/>
                <w:i/>
                <w:iCs/>
                <w:lang w:eastAsia="hu-HU"/>
              </w:rPr>
              <w:t>(URL)</w:t>
            </w:r>
          </w:p>
        </w:tc>
      </w:tr>
      <w:tr w:rsidR="00292440" w:rsidRPr="00292440" w14:paraId="1BC50F33" w14:textId="77777777" w:rsidTr="00F31610">
        <w:tc>
          <w:tcPr>
            <w:tcW w:w="0" w:type="auto"/>
            <w:hideMark/>
          </w:tcPr>
          <w:p w14:paraId="54044EC5"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További információ a következő címen szerezhető be</w:t>
            </w:r>
          </w:p>
          <w:p w14:paraId="444EAC0A" w14:textId="77777777" w:rsidR="00F31610" w:rsidRPr="00292440" w:rsidRDefault="00B9658C" w:rsidP="0042537D">
            <w:pPr>
              <w:spacing w:before="120" w:after="120"/>
              <w:jc w:val="left"/>
              <w:rPr>
                <w:rFonts w:eastAsia="Times New Roman"/>
                <w:lang w:eastAsia="hu-HU"/>
              </w:rPr>
            </w:pPr>
            <w:r w:rsidRPr="00292440">
              <w:rPr>
                <w:rFonts w:eastAsia="Times New Roman"/>
                <w:lang w:eastAsia="hu-HU"/>
              </w:rPr>
              <w:lastRenderedPageBreak/>
              <w:t></w:t>
            </w:r>
            <w:r w:rsidR="00F31610" w:rsidRPr="00292440">
              <w:rPr>
                <w:rFonts w:eastAsia="Times New Roman"/>
                <w:lang w:eastAsia="hu-HU"/>
              </w:rPr>
              <w:t xml:space="preserve"> a fent említett cím</w:t>
            </w:r>
          </w:p>
          <w:p w14:paraId="192AD89F"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 másik cím: </w:t>
            </w:r>
            <w:r w:rsidRPr="00292440">
              <w:rPr>
                <w:rFonts w:eastAsia="Times New Roman"/>
                <w:i/>
                <w:iCs/>
                <w:lang w:eastAsia="hu-HU"/>
              </w:rPr>
              <w:t>(adjon meg másik címet)</w:t>
            </w:r>
          </w:p>
        </w:tc>
      </w:tr>
      <w:tr w:rsidR="00292440" w:rsidRPr="00292440" w14:paraId="50486B33" w14:textId="77777777" w:rsidTr="00F31610">
        <w:tc>
          <w:tcPr>
            <w:tcW w:w="0" w:type="auto"/>
            <w:hideMark/>
          </w:tcPr>
          <w:p w14:paraId="71E4DD48"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lastRenderedPageBreak/>
              <w:t>Az ajánlat vagy részvételi jelentkezés benyújtandó</w:t>
            </w:r>
          </w:p>
          <w:p w14:paraId="740A177A" w14:textId="77777777" w:rsidR="00F31610" w:rsidRPr="00292440" w:rsidRDefault="00B9658C" w:rsidP="0042537D">
            <w:pPr>
              <w:spacing w:before="120" w:after="120"/>
              <w:jc w:val="left"/>
              <w:rPr>
                <w:rFonts w:eastAsia="Times New Roman"/>
                <w:lang w:eastAsia="hu-HU"/>
              </w:rPr>
            </w:pPr>
            <w:r w:rsidRPr="00292440">
              <w:rPr>
                <w:rFonts w:eastAsia="Times New Roman"/>
                <w:lang w:eastAsia="hu-HU"/>
              </w:rPr>
              <w:t xml:space="preserve"> </w:t>
            </w:r>
            <w:r w:rsidR="00F31610" w:rsidRPr="00292440">
              <w:rPr>
                <w:rFonts w:eastAsia="Times New Roman"/>
                <w:lang w:eastAsia="hu-HU"/>
              </w:rPr>
              <w:t xml:space="preserve">elektronikus úton: </w:t>
            </w:r>
            <w:r w:rsidR="00F31610" w:rsidRPr="00292440">
              <w:rPr>
                <w:rFonts w:eastAsia="Times New Roman"/>
                <w:i/>
                <w:iCs/>
                <w:lang w:eastAsia="hu-HU"/>
              </w:rPr>
              <w:t>(URL)</w:t>
            </w:r>
          </w:p>
          <w:p w14:paraId="42339B21" w14:textId="77777777" w:rsidR="00F31610" w:rsidRPr="00292440" w:rsidRDefault="00B9658C" w:rsidP="0042537D">
            <w:pPr>
              <w:spacing w:before="120" w:after="120"/>
              <w:jc w:val="left"/>
              <w:rPr>
                <w:rFonts w:eastAsia="Times New Roman"/>
                <w:lang w:eastAsia="hu-HU"/>
              </w:rPr>
            </w:pPr>
            <w:r w:rsidRPr="00292440">
              <w:rPr>
                <w:rFonts w:eastAsia="Times New Roman"/>
                <w:lang w:eastAsia="hu-HU"/>
              </w:rPr>
              <w:t></w:t>
            </w:r>
            <w:r w:rsidR="00F31610" w:rsidRPr="00292440">
              <w:rPr>
                <w:rFonts w:eastAsia="Times New Roman"/>
                <w:lang w:eastAsia="hu-HU"/>
              </w:rPr>
              <w:t xml:space="preserve"> a fent említett címre</w:t>
            </w:r>
          </w:p>
          <w:p w14:paraId="50D32BE9"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 a következő címre: </w:t>
            </w:r>
            <w:r w:rsidRPr="00292440">
              <w:rPr>
                <w:rFonts w:eastAsia="Times New Roman"/>
                <w:i/>
                <w:iCs/>
                <w:lang w:eastAsia="hu-HU"/>
              </w:rPr>
              <w:t>(adjon meg másik címet)</w:t>
            </w:r>
          </w:p>
        </w:tc>
      </w:tr>
      <w:tr w:rsidR="00292440" w:rsidRPr="00292440" w14:paraId="53F5CFF8" w14:textId="77777777" w:rsidTr="00F31610">
        <w:tc>
          <w:tcPr>
            <w:tcW w:w="0" w:type="auto"/>
            <w:hideMark/>
          </w:tcPr>
          <w:p w14:paraId="05457067" w14:textId="77777777" w:rsidR="00F31610" w:rsidRPr="00292440" w:rsidRDefault="00F31610" w:rsidP="00B9658C">
            <w:pPr>
              <w:spacing w:before="120" w:after="120"/>
              <w:jc w:val="left"/>
              <w:rPr>
                <w:rFonts w:eastAsia="Times New Roman"/>
                <w:lang w:eastAsia="hu-HU"/>
              </w:rPr>
            </w:pPr>
            <w:r w:rsidRPr="00292440">
              <w:rPr>
                <w:rFonts w:eastAsia="Times New Roman"/>
                <w:lang w:eastAsia="hu-HU"/>
              </w:rPr>
              <w:t xml:space="preserve"> Az elektronikus kommunikáció olyan eszközök és berendezések használatát igényli, amelyek nem általánosan hozzáférhetők. Ezen eszközök és berendezések korlátozás nélkül, </w:t>
            </w:r>
            <w:proofErr w:type="gramStart"/>
            <w:r w:rsidRPr="00292440">
              <w:rPr>
                <w:rFonts w:eastAsia="Times New Roman"/>
                <w:lang w:eastAsia="hu-HU"/>
              </w:rPr>
              <w:t>teljes körűen</w:t>
            </w:r>
            <w:proofErr w:type="gramEnd"/>
            <w:r w:rsidRPr="00292440">
              <w:rPr>
                <w:rFonts w:eastAsia="Times New Roman"/>
                <w:lang w:eastAsia="hu-HU"/>
              </w:rPr>
              <w:t xml:space="preserve">, közvetlenül és díjmentesen elérhetők a következő címen: </w:t>
            </w:r>
            <w:r w:rsidRPr="00292440">
              <w:rPr>
                <w:rFonts w:eastAsia="Times New Roman"/>
                <w:i/>
                <w:iCs/>
                <w:lang w:eastAsia="hu-HU"/>
              </w:rPr>
              <w:t>(URL)</w:t>
            </w:r>
            <w:r w:rsidR="00B9658C" w:rsidRPr="00292440">
              <w:rPr>
                <w:rFonts w:eastAsia="MyriadPro-Light"/>
                <w:bCs/>
                <w:i/>
                <w:lang w:eastAsia="hu-HU"/>
              </w:rPr>
              <w:t xml:space="preserve"> </w:t>
            </w:r>
          </w:p>
        </w:tc>
      </w:tr>
    </w:tbl>
    <w:p w14:paraId="183851E9"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I.4) Az ajánlatkérő típusa</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292440" w:rsidRPr="00292440" w14:paraId="7C0B9C53" w14:textId="77777777" w:rsidTr="00F31610">
        <w:tc>
          <w:tcPr>
            <w:tcW w:w="5042" w:type="dxa"/>
            <w:hideMark/>
          </w:tcPr>
          <w:p w14:paraId="43AB11F0"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Központi szintű</w:t>
            </w:r>
          </w:p>
          <w:p w14:paraId="14DC0A2B" w14:textId="77777777" w:rsidR="00F31610" w:rsidRPr="00292440" w:rsidRDefault="00011C2C" w:rsidP="0042537D">
            <w:pPr>
              <w:spacing w:before="120" w:after="120"/>
              <w:jc w:val="left"/>
              <w:rPr>
                <w:rFonts w:eastAsia="Times New Roman"/>
                <w:lang w:eastAsia="hu-HU"/>
              </w:rPr>
            </w:pPr>
            <w:r>
              <w:rPr>
                <w:rFonts w:eastAsia="Times New Roman"/>
                <w:lang w:eastAsia="hu-HU"/>
              </w:rPr>
              <w:t>X</w:t>
            </w:r>
            <w:r w:rsidR="00AC29B0" w:rsidRPr="00292440">
              <w:rPr>
                <w:rFonts w:eastAsia="Times New Roman"/>
                <w:lang w:eastAsia="hu-HU"/>
              </w:rPr>
              <w:t xml:space="preserve"> </w:t>
            </w:r>
            <w:r w:rsidR="00F31610" w:rsidRPr="00292440">
              <w:rPr>
                <w:rFonts w:eastAsia="Times New Roman"/>
                <w:lang w:eastAsia="hu-HU"/>
              </w:rPr>
              <w:t>Regionális/helyi szintű</w:t>
            </w:r>
          </w:p>
          <w:p w14:paraId="587ECF43" w14:textId="77777777" w:rsidR="00F31610" w:rsidRPr="00292440" w:rsidRDefault="001D64FF" w:rsidP="0042537D">
            <w:pPr>
              <w:spacing w:before="120" w:after="120"/>
              <w:jc w:val="left"/>
              <w:rPr>
                <w:rFonts w:eastAsia="Times New Roman"/>
                <w:lang w:eastAsia="hu-HU"/>
              </w:rPr>
            </w:pPr>
            <w:r w:rsidRPr="00292440">
              <w:rPr>
                <w:rFonts w:eastAsia="Times New Roman"/>
                <w:lang w:eastAsia="hu-HU"/>
              </w:rPr>
              <w:t></w:t>
            </w:r>
            <w:r w:rsidR="00CC1A50" w:rsidRPr="00292440">
              <w:rPr>
                <w:rFonts w:eastAsia="Times New Roman"/>
                <w:lang w:eastAsia="hu-HU"/>
              </w:rPr>
              <w:t xml:space="preserve"> </w:t>
            </w:r>
            <w:r w:rsidR="00F31610" w:rsidRPr="00292440">
              <w:rPr>
                <w:rFonts w:eastAsia="Times New Roman"/>
                <w:lang w:eastAsia="hu-HU"/>
              </w:rPr>
              <w:t>Közjogi szervezet</w:t>
            </w:r>
          </w:p>
        </w:tc>
        <w:tc>
          <w:tcPr>
            <w:tcW w:w="4753" w:type="dxa"/>
            <w:hideMark/>
          </w:tcPr>
          <w:p w14:paraId="13E22DA9"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Közszolgáltató</w:t>
            </w:r>
          </w:p>
          <w:p w14:paraId="66FE6A95" w14:textId="77777777" w:rsidR="00F31610" w:rsidRPr="00292440" w:rsidRDefault="00011C2C" w:rsidP="0042537D">
            <w:pPr>
              <w:spacing w:before="120" w:after="120"/>
              <w:jc w:val="left"/>
              <w:rPr>
                <w:rFonts w:eastAsia="Times New Roman"/>
                <w:lang w:eastAsia="hu-HU"/>
              </w:rPr>
            </w:pPr>
            <w:r w:rsidRPr="00292440">
              <w:rPr>
                <w:rFonts w:eastAsia="Times New Roman"/>
                <w:lang w:eastAsia="hu-HU"/>
              </w:rPr>
              <w:t></w:t>
            </w:r>
            <w:r w:rsidR="001D64FF" w:rsidRPr="00292440">
              <w:rPr>
                <w:rFonts w:eastAsia="Times New Roman"/>
                <w:lang w:eastAsia="hu-HU"/>
              </w:rPr>
              <w:t xml:space="preserve"> </w:t>
            </w:r>
            <w:r w:rsidR="00F31610" w:rsidRPr="00292440">
              <w:rPr>
                <w:rFonts w:eastAsia="Times New Roman"/>
                <w:lang w:eastAsia="hu-HU"/>
              </w:rPr>
              <w:t>Támogatott szervezet [Kbt. 5. § (2)-(3) bekezdés]</w:t>
            </w:r>
          </w:p>
          <w:p w14:paraId="494BCD31"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Egyéb:</w:t>
            </w:r>
            <w:r w:rsidR="00B9658C" w:rsidRPr="00292440">
              <w:rPr>
                <w:rFonts w:eastAsia="Times New Roman"/>
                <w:lang w:eastAsia="hu-HU"/>
              </w:rPr>
              <w:t xml:space="preserve"> </w:t>
            </w:r>
          </w:p>
        </w:tc>
      </w:tr>
    </w:tbl>
    <w:p w14:paraId="64791FF3"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 xml:space="preserve">I.5) Fő tevékenység </w:t>
      </w:r>
      <w:r w:rsidRPr="00292440">
        <w:rPr>
          <w:rFonts w:eastAsia="Times New Roman"/>
          <w:i/>
          <w:iCs/>
          <w:lang w:eastAsia="hu-HU"/>
        </w:rPr>
        <w:t>(klasszikus ajánlatkérők esetében)</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292440" w:rsidRPr="00292440" w14:paraId="46FF228C" w14:textId="77777777" w:rsidTr="00F31610">
        <w:tc>
          <w:tcPr>
            <w:tcW w:w="5042" w:type="dxa"/>
            <w:hideMark/>
          </w:tcPr>
          <w:p w14:paraId="15CB9A9A" w14:textId="77777777" w:rsidR="00F31610" w:rsidRPr="00292440" w:rsidRDefault="00011C2C" w:rsidP="0042537D">
            <w:pPr>
              <w:spacing w:before="120" w:after="120"/>
              <w:jc w:val="left"/>
              <w:rPr>
                <w:rFonts w:eastAsia="Times New Roman"/>
                <w:lang w:eastAsia="hu-HU"/>
              </w:rPr>
            </w:pPr>
            <w:r>
              <w:rPr>
                <w:rFonts w:eastAsia="Times New Roman"/>
                <w:lang w:eastAsia="hu-HU"/>
              </w:rPr>
              <w:t>X</w:t>
            </w:r>
            <w:r w:rsidR="00F31610" w:rsidRPr="00292440">
              <w:rPr>
                <w:rFonts w:eastAsia="Times New Roman"/>
                <w:lang w:eastAsia="hu-HU"/>
              </w:rPr>
              <w:t xml:space="preserve"> Általános közszolgáltatások</w:t>
            </w:r>
          </w:p>
          <w:p w14:paraId="3EF6B9F2"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Honvédelem</w:t>
            </w:r>
          </w:p>
          <w:p w14:paraId="1A485501"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Közrend és biztonság</w:t>
            </w:r>
          </w:p>
          <w:p w14:paraId="63F1C3E7"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Környezetvédelem</w:t>
            </w:r>
          </w:p>
          <w:p w14:paraId="4CF56C21" w14:textId="77777777" w:rsidR="00F31610" w:rsidRPr="00292440" w:rsidRDefault="00011C2C" w:rsidP="0042537D">
            <w:pPr>
              <w:spacing w:before="120" w:after="120"/>
              <w:jc w:val="left"/>
              <w:rPr>
                <w:rFonts w:eastAsia="Times New Roman"/>
                <w:lang w:eastAsia="hu-HU"/>
              </w:rPr>
            </w:pPr>
            <w:r w:rsidRPr="00292440">
              <w:rPr>
                <w:rFonts w:eastAsia="Times New Roman"/>
                <w:lang w:eastAsia="hu-HU"/>
              </w:rPr>
              <w:t></w:t>
            </w:r>
            <w:r w:rsidR="00F31610" w:rsidRPr="00292440">
              <w:rPr>
                <w:rFonts w:eastAsia="Times New Roman"/>
                <w:lang w:eastAsia="hu-HU"/>
              </w:rPr>
              <w:t xml:space="preserve"> Gazdasági és pénzügyek</w:t>
            </w:r>
          </w:p>
          <w:p w14:paraId="7E420773" w14:textId="77777777" w:rsidR="00F31610" w:rsidRPr="00292440" w:rsidRDefault="00F31610" w:rsidP="0042537D">
            <w:pPr>
              <w:spacing w:before="120" w:after="120"/>
              <w:ind w:left="180" w:hanging="180"/>
              <w:jc w:val="left"/>
              <w:rPr>
                <w:rFonts w:eastAsia="Times New Roman"/>
                <w:lang w:eastAsia="hu-HU"/>
              </w:rPr>
            </w:pPr>
            <w:r w:rsidRPr="00292440">
              <w:rPr>
                <w:rFonts w:eastAsia="Times New Roman"/>
                <w:lang w:eastAsia="hu-HU"/>
              </w:rPr>
              <w:t> Egészségügy</w:t>
            </w:r>
          </w:p>
        </w:tc>
        <w:tc>
          <w:tcPr>
            <w:tcW w:w="4753" w:type="dxa"/>
            <w:hideMark/>
          </w:tcPr>
          <w:p w14:paraId="4624C256"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Lakásszolgáltatás és közösségi rekreáció</w:t>
            </w:r>
          </w:p>
          <w:p w14:paraId="0B4024F4"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Szociális védelem</w:t>
            </w:r>
          </w:p>
          <w:p w14:paraId="36D65199" w14:textId="77777777" w:rsidR="00F31610" w:rsidRPr="00292440" w:rsidRDefault="005506F1" w:rsidP="0042537D">
            <w:pPr>
              <w:spacing w:before="120" w:after="120"/>
              <w:jc w:val="left"/>
              <w:rPr>
                <w:rFonts w:eastAsia="Times New Roman"/>
                <w:lang w:eastAsia="hu-HU"/>
              </w:rPr>
            </w:pPr>
            <w:r w:rsidRPr="00292440">
              <w:rPr>
                <w:rFonts w:eastAsia="Times New Roman"/>
                <w:lang w:eastAsia="hu-HU"/>
              </w:rPr>
              <w:t></w:t>
            </w:r>
            <w:r w:rsidR="00F31610" w:rsidRPr="00292440">
              <w:rPr>
                <w:rFonts w:eastAsia="Times New Roman"/>
                <w:lang w:eastAsia="hu-HU"/>
              </w:rPr>
              <w:t xml:space="preserve"> Szabadidő, kultúra és vallás</w:t>
            </w:r>
          </w:p>
          <w:p w14:paraId="570533D2" w14:textId="77777777" w:rsidR="00AC29B0" w:rsidRPr="00292440" w:rsidRDefault="00F31610" w:rsidP="0042537D">
            <w:pPr>
              <w:spacing w:before="120" w:after="120"/>
              <w:jc w:val="left"/>
              <w:rPr>
                <w:rFonts w:eastAsia="Times New Roman"/>
                <w:lang w:eastAsia="hu-HU"/>
              </w:rPr>
            </w:pPr>
            <w:r w:rsidRPr="00292440">
              <w:rPr>
                <w:rFonts w:eastAsia="Times New Roman"/>
                <w:lang w:eastAsia="hu-HU"/>
              </w:rPr>
              <w:t> Oktatás</w:t>
            </w:r>
          </w:p>
          <w:p w14:paraId="7DA1E5F0" w14:textId="77777777" w:rsidR="00F31610" w:rsidRPr="00292440" w:rsidRDefault="00AC29B0" w:rsidP="0042537D">
            <w:pPr>
              <w:spacing w:before="120" w:after="120"/>
              <w:jc w:val="left"/>
              <w:rPr>
                <w:rFonts w:eastAsia="Times New Roman"/>
                <w:lang w:eastAsia="hu-HU"/>
              </w:rPr>
            </w:pPr>
            <w:r w:rsidRPr="00292440">
              <w:rPr>
                <w:rFonts w:eastAsia="Times New Roman"/>
                <w:lang w:eastAsia="hu-HU"/>
              </w:rPr>
              <w:t></w:t>
            </w:r>
            <w:r w:rsidR="00B9658C" w:rsidRPr="00292440">
              <w:rPr>
                <w:rFonts w:eastAsia="Times New Roman"/>
                <w:lang w:eastAsia="hu-HU"/>
              </w:rPr>
              <w:t xml:space="preserve"> </w:t>
            </w:r>
            <w:r w:rsidR="00F31610" w:rsidRPr="00292440">
              <w:rPr>
                <w:rFonts w:eastAsia="Times New Roman"/>
                <w:lang w:eastAsia="hu-HU"/>
              </w:rPr>
              <w:t>Egyéb tevékenység:</w:t>
            </w:r>
            <w:r w:rsidR="00B9658C" w:rsidRPr="00292440">
              <w:rPr>
                <w:rFonts w:eastAsia="Times New Roman"/>
                <w:lang w:eastAsia="hu-HU"/>
              </w:rPr>
              <w:t xml:space="preserve"> </w:t>
            </w:r>
          </w:p>
        </w:tc>
      </w:tr>
    </w:tbl>
    <w:p w14:paraId="44DD202A"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 xml:space="preserve">I.6) Fő tevékenység </w:t>
      </w:r>
      <w:r w:rsidRPr="00292440">
        <w:rPr>
          <w:rFonts w:eastAsia="Times New Roman"/>
          <w:i/>
          <w:iCs/>
          <w:lang w:eastAsia="hu-HU"/>
        </w:rPr>
        <w:t>(közszolgáltató ajánlatkérők esetében)</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292440" w:rsidRPr="00292440" w14:paraId="6B827D26" w14:textId="77777777" w:rsidTr="00F31610">
        <w:tc>
          <w:tcPr>
            <w:tcW w:w="5042" w:type="dxa"/>
            <w:hideMark/>
          </w:tcPr>
          <w:p w14:paraId="7227B3C9"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Gáz- és hőenergia termelése, szállítása és elosztása</w:t>
            </w:r>
          </w:p>
          <w:p w14:paraId="78291FA0"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Villamos energia</w:t>
            </w:r>
          </w:p>
          <w:p w14:paraId="5CAF35D5"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Földgáz és kőolaj kitermelése</w:t>
            </w:r>
          </w:p>
          <w:p w14:paraId="48B11E32"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Szén és más szilárd tüzelőanyag feltárása és kitermelése</w:t>
            </w:r>
          </w:p>
          <w:p w14:paraId="4DE03AA1"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Víz</w:t>
            </w:r>
          </w:p>
          <w:p w14:paraId="2E3623DB"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Postai szolgáltatások</w:t>
            </w:r>
          </w:p>
        </w:tc>
        <w:tc>
          <w:tcPr>
            <w:tcW w:w="4753" w:type="dxa"/>
            <w:hideMark/>
          </w:tcPr>
          <w:p w14:paraId="6E0A5B94" w14:textId="77777777" w:rsidR="00F31610" w:rsidRPr="00292440" w:rsidRDefault="00F31610" w:rsidP="0042537D">
            <w:pPr>
              <w:spacing w:before="120" w:after="120"/>
              <w:ind w:left="280" w:hanging="280"/>
              <w:jc w:val="left"/>
              <w:rPr>
                <w:rFonts w:eastAsia="Times New Roman"/>
                <w:lang w:eastAsia="hu-HU"/>
              </w:rPr>
            </w:pPr>
            <w:r w:rsidRPr="00292440">
              <w:rPr>
                <w:rFonts w:eastAsia="Times New Roman"/>
                <w:lang w:eastAsia="hu-HU"/>
              </w:rPr>
              <w:t> Vasúti szolgáltatások</w:t>
            </w:r>
          </w:p>
          <w:p w14:paraId="1E68207F" w14:textId="77777777" w:rsidR="00F31610" w:rsidRPr="00292440" w:rsidRDefault="00F31610" w:rsidP="0042537D">
            <w:pPr>
              <w:spacing w:before="120" w:after="120"/>
              <w:ind w:left="280" w:hanging="280"/>
              <w:jc w:val="left"/>
              <w:rPr>
                <w:rFonts w:eastAsia="Times New Roman"/>
                <w:lang w:eastAsia="hu-HU"/>
              </w:rPr>
            </w:pPr>
            <w:r w:rsidRPr="00292440">
              <w:rPr>
                <w:rFonts w:eastAsia="Times New Roman"/>
                <w:lang w:eastAsia="hu-HU"/>
              </w:rPr>
              <w:t> Városi vasúti, villamos-, trolibusz- és autóbusz-szolgáltatások</w:t>
            </w:r>
          </w:p>
          <w:p w14:paraId="1BB378FD" w14:textId="77777777" w:rsidR="00F31610" w:rsidRPr="00292440" w:rsidRDefault="00F31610" w:rsidP="0042537D">
            <w:pPr>
              <w:spacing w:before="120" w:after="120"/>
              <w:ind w:left="280" w:hanging="280"/>
              <w:jc w:val="left"/>
              <w:rPr>
                <w:rFonts w:eastAsia="Times New Roman"/>
                <w:lang w:eastAsia="hu-HU"/>
              </w:rPr>
            </w:pPr>
            <w:r w:rsidRPr="00292440">
              <w:rPr>
                <w:rFonts w:eastAsia="Times New Roman"/>
                <w:lang w:eastAsia="hu-HU"/>
              </w:rPr>
              <w:t> Kikötői tevékenységek</w:t>
            </w:r>
          </w:p>
          <w:p w14:paraId="4F353503" w14:textId="77777777" w:rsidR="00F31610" w:rsidRPr="00292440" w:rsidRDefault="00F31610" w:rsidP="0042537D">
            <w:pPr>
              <w:spacing w:before="120" w:after="120"/>
              <w:ind w:left="280" w:hanging="280"/>
              <w:jc w:val="left"/>
              <w:rPr>
                <w:rFonts w:eastAsia="Times New Roman"/>
                <w:lang w:eastAsia="hu-HU"/>
              </w:rPr>
            </w:pPr>
            <w:r w:rsidRPr="00292440">
              <w:rPr>
                <w:rFonts w:eastAsia="Times New Roman"/>
                <w:lang w:eastAsia="hu-HU"/>
              </w:rPr>
              <w:t> Repülőtéri tevékenységek</w:t>
            </w:r>
          </w:p>
          <w:p w14:paraId="473F8948" w14:textId="77777777" w:rsidR="00F31610" w:rsidRPr="00292440" w:rsidRDefault="00F31610" w:rsidP="0042537D">
            <w:pPr>
              <w:spacing w:before="120" w:after="120"/>
              <w:ind w:left="280" w:hanging="280"/>
              <w:jc w:val="left"/>
              <w:rPr>
                <w:rFonts w:eastAsia="Times New Roman"/>
                <w:lang w:eastAsia="hu-HU"/>
              </w:rPr>
            </w:pPr>
            <w:r w:rsidRPr="00292440">
              <w:rPr>
                <w:rFonts w:eastAsia="Times New Roman"/>
                <w:lang w:eastAsia="hu-HU"/>
              </w:rPr>
              <w:t> Egyéb tevékenység:</w:t>
            </w:r>
          </w:p>
        </w:tc>
      </w:tr>
    </w:tbl>
    <w:p w14:paraId="08080D86"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 szakasz: Tárgy</w:t>
      </w:r>
    </w:p>
    <w:p w14:paraId="37FB84C1"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867"/>
        <w:gridCol w:w="2928"/>
      </w:tblGrid>
      <w:tr w:rsidR="00591A8C" w:rsidRPr="00292440" w14:paraId="5D450B1D" w14:textId="77777777" w:rsidTr="00F31610">
        <w:tc>
          <w:tcPr>
            <w:tcW w:w="7310" w:type="dxa"/>
            <w:hideMark/>
          </w:tcPr>
          <w:p w14:paraId="4720A6FF" w14:textId="77777777" w:rsidR="00F31610" w:rsidRPr="00292440" w:rsidRDefault="00F31610" w:rsidP="00D1311A">
            <w:pPr>
              <w:spacing w:before="120" w:after="120"/>
              <w:jc w:val="left"/>
              <w:rPr>
                <w:rFonts w:eastAsia="Times New Roman"/>
                <w:lang w:eastAsia="hu-HU"/>
              </w:rPr>
            </w:pPr>
            <w:r w:rsidRPr="00292440">
              <w:rPr>
                <w:rFonts w:eastAsia="Times New Roman"/>
                <w:b/>
                <w:bCs/>
                <w:lang w:eastAsia="hu-HU"/>
              </w:rPr>
              <w:t xml:space="preserve">II.1.1) </w:t>
            </w:r>
            <w:r w:rsidRPr="00272396">
              <w:rPr>
                <w:rFonts w:eastAsia="Times New Roman"/>
                <w:b/>
                <w:bCs/>
                <w:lang w:eastAsia="hu-HU"/>
              </w:rPr>
              <w:t>Elnevezés</w:t>
            </w:r>
            <w:r w:rsidRPr="00272396">
              <w:rPr>
                <w:rFonts w:eastAsia="Times New Roman"/>
                <w:bCs/>
                <w:lang w:eastAsia="hu-HU"/>
              </w:rPr>
              <w:t>:</w:t>
            </w:r>
            <w:r w:rsidR="00B9658C" w:rsidRPr="00272396">
              <w:rPr>
                <w:rFonts w:eastAsia="Times New Roman"/>
                <w:bCs/>
                <w:lang w:eastAsia="hu-HU"/>
              </w:rPr>
              <w:t xml:space="preserve"> </w:t>
            </w:r>
            <w:r w:rsidR="00D1311A">
              <w:t>Belterületi utak felújítása</w:t>
            </w:r>
          </w:p>
        </w:tc>
        <w:tc>
          <w:tcPr>
            <w:tcW w:w="2485" w:type="dxa"/>
            <w:hideMark/>
          </w:tcPr>
          <w:p w14:paraId="4AB35808" w14:textId="77777777" w:rsidR="00F31610" w:rsidRPr="00292440" w:rsidRDefault="00F31610" w:rsidP="00B9658C">
            <w:pPr>
              <w:spacing w:before="120" w:after="120"/>
              <w:jc w:val="left"/>
              <w:rPr>
                <w:rFonts w:eastAsia="Times New Roman"/>
                <w:lang w:eastAsia="hu-HU"/>
              </w:rPr>
            </w:pPr>
            <w:r w:rsidRPr="00292440">
              <w:rPr>
                <w:rFonts w:eastAsia="Times New Roman"/>
                <w:lang w:eastAsia="hu-HU"/>
              </w:rPr>
              <w:t xml:space="preserve">Hivatkozási szám: </w:t>
            </w:r>
          </w:p>
        </w:tc>
      </w:tr>
      <w:tr w:rsidR="00292440" w:rsidRPr="00292440" w14:paraId="648A7C06" w14:textId="77777777" w:rsidTr="00F31610">
        <w:tc>
          <w:tcPr>
            <w:tcW w:w="0" w:type="auto"/>
            <w:gridSpan w:val="2"/>
            <w:hideMark/>
          </w:tcPr>
          <w:p w14:paraId="3CC83A11" w14:textId="77777777" w:rsidR="00D0167B" w:rsidRPr="00292440" w:rsidRDefault="00F31610" w:rsidP="00D0167B">
            <w:pPr>
              <w:pStyle w:val="Default"/>
              <w:rPr>
                <w:rFonts w:ascii="Times New Roman" w:hAnsi="Times New Roman" w:cs="Times New Roman"/>
                <w:color w:val="auto"/>
              </w:rPr>
            </w:pPr>
            <w:r w:rsidRPr="00292440">
              <w:rPr>
                <w:rFonts w:ascii="Times New Roman" w:eastAsia="Times New Roman" w:hAnsi="Times New Roman" w:cs="Times New Roman"/>
                <w:b/>
                <w:bCs/>
                <w:color w:val="auto"/>
              </w:rPr>
              <w:t>II.1.2) Fő CPV-kód:</w:t>
            </w:r>
            <w:r w:rsidRPr="00292440">
              <w:rPr>
                <w:rFonts w:ascii="Times New Roman" w:eastAsia="Times New Roman" w:hAnsi="Times New Roman" w:cs="Times New Roman"/>
                <w:color w:val="auto"/>
              </w:rPr>
              <w:t xml:space="preserve"> </w:t>
            </w:r>
          </w:p>
          <w:p w14:paraId="6868728B" w14:textId="77777777" w:rsidR="00D1311A" w:rsidRDefault="00D1311A" w:rsidP="00FC58D5">
            <w:pPr>
              <w:spacing w:before="120" w:after="120"/>
              <w:jc w:val="left"/>
            </w:pPr>
            <w:r w:rsidRPr="00D1311A">
              <w:lastRenderedPageBreak/>
              <w:t>45233228-3    Útburkolat építése</w:t>
            </w:r>
          </w:p>
          <w:p w14:paraId="09FF2C92" w14:textId="77777777" w:rsidR="000C3338" w:rsidRDefault="000C3338" w:rsidP="00FC58D5">
            <w:pPr>
              <w:spacing w:before="120" w:after="120"/>
              <w:jc w:val="left"/>
            </w:pPr>
            <w:r w:rsidRPr="000C3338">
              <w:t>45233220-7    Közút burkolása</w:t>
            </w:r>
          </w:p>
          <w:p w14:paraId="1D5D8A00" w14:textId="77777777" w:rsidR="000C3338" w:rsidRPr="00D1311A" w:rsidRDefault="000C3338" w:rsidP="00FC58D5">
            <w:pPr>
              <w:spacing w:before="120" w:after="120"/>
              <w:jc w:val="left"/>
            </w:pPr>
            <w:r w:rsidRPr="000C3338">
              <w:t>45233251-3    </w:t>
            </w:r>
            <w:proofErr w:type="spellStart"/>
            <w:r w:rsidRPr="000C3338">
              <w:t>Újraburkolás</w:t>
            </w:r>
            <w:proofErr w:type="spellEnd"/>
          </w:p>
          <w:p w14:paraId="2883D4E1" w14:textId="77777777" w:rsidR="00F31610" w:rsidRPr="00292440" w:rsidRDefault="00F31610" w:rsidP="00FC58D5">
            <w:pPr>
              <w:spacing w:before="120" w:after="120"/>
              <w:jc w:val="left"/>
              <w:rPr>
                <w:rFonts w:eastAsia="Times New Roman"/>
                <w:lang w:eastAsia="hu-HU"/>
              </w:rPr>
            </w:pPr>
            <w:r w:rsidRPr="00292440">
              <w:rPr>
                <w:rFonts w:eastAsia="Times New Roman"/>
                <w:lang w:eastAsia="hu-HU"/>
              </w:rPr>
              <w:t xml:space="preserve">Kiegészítő CPV-kód: </w:t>
            </w:r>
            <w:proofErr w:type="gramStart"/>
            <w:r w:rsidRPr="00292440">
              <w:rPr>
                <w:rFonts w:eastAsia="Times New Roman"/>
                <w:lang w:eastAsia="hu-HU"/>
              </w:rPr>
              <w:t>[ ]</w:t>
            </w:r>
            <w:proofErr w:type="gramEnd"/>
            <w:r w:rsidRPr="00292440">
              <w:rPr>
                <w:rFonts w:eastAsia="Times New Roman"/>
                <w:lang w:eastAsia="hu-HU"/>
              </w:rPr>
              <w:t>[ ][ ][ ]</w:t>
            </w:r>
          </w:p>
        </w:tc>
      </w:tr>
      <w:tr w:rsidR="00292440" w:rsidRPr="00292440" w14:paraId="30B3355D" w14:textId="77777777" w:rsidTr="00F31610">
        <w:tc>
          <w:tcPr>
            <w:tcW w:w="0" w:type="auto"/>
            <w:gridSpan w:val="2"/>
            <w:hideMark/>
          </w:tcPr>
          <w:p w14:paraId="2FC4EC8A" w14:textId="77777777" w:rsidR="00F31610" w:rsidRPr="00292440" w:rsidRDefault="00F31610" w:rsidP="00FC58D5">
            <w:pPr>
              <w:spacing w:before="120" w:after="120"/>
              <w:jc w:val="left"/>
              <w:rPr>
                <w:rFonts w:eastAsia="Times New Roman"/>
                <w:lang w:eastAsia="hu-HU"/>
              </w:rPr>
            </w:pPr>
            <w:r w:rsidRPr="00292440">
              <w:rPr>
                <w:rFonts w:eastAsia="Times New Roman"/>
                <w:b/>
                <w:bCs/>
                <w:lang w:eastAsia="hu-HU"/>
              </w:rPr>
              <w:lastRenderedPageBreak/>
              <w:t>II.1.3) A szerződés típusa</w:t>
            </w:r>
            <w:r w:rsidRPr="00292440">
              <w:rPr>
                <w:rFonts w:eastAsia="Times New Roman"/>
                <w:lang w:eastAsia="hu-HU"/>
              </w:rPr>
              <w:t xml:space="preserve"> </w:t>
            </w:r>
            <w:r w:rsidR="00DA5A83" w:rsidRPr="00292440">
              <w:rPr>
                <w:rFonts w:eastAsia="Times New Roman"/>
                <w:lang w:eastAsia="hu-HU"/>
              </w:rPr>
              <w:t>x</w:t>
            </w:r>
            <w:r w:rsidRPr="00292440">
              <w:rPr>
                <w:rFonts w:eastAsia="Times New Roman"/>
                <w:lang w:eastAsia="hu-HU"/>
              </w:rPr>
              <w:t xml:space="preserve"> Építési beruházás </w:t>
            </w:r>
            <w:r w:rsidR="00DA5A83" w:rsidRPr="00292440">
              <w:rPr>
                <w:rFonts w:eastAsia="Times New Roman"/>
                <w:lang w:eastAsia="hu-HU"/>
              </w:rPr>
              <w:t></w:t>
            </w:r>
            <w:r w:rsidRPr="00292440">
              <w:rPr>
                <w:rFonts w:eastAsia="Times New Roman"/>
                <w:lang w:eastAsia="hu-HU"/>
              </w:rPr>
              <w:t xml:space="preserve"> Árubeszerzés </w:t>
            </w:r>
            <w:r w:rsidRPr="00292440">
              <w:rPr>
                <w:rFonts w:eastAsia="Times New Roman"/>
                <w:lang w:eastAsia="hu-HU"/>
              </w:rPr>
              <w:t> Szolgáltatásmegrendelés</w:t>
            </w:r>
          </w:p>
        </w:tc>
      </w:tr>
      <w:tr w:rsidR="00292440" w:rsidRPr="00292440" w14:paraId="05E1FFEE" w14:textId="77777777" w:rsidTr="00F31610">
        <w:tc>
          <w:tcPr>
            <w:tcW w:w="0" w:type="auto"/>
            <w:gridSpan w:val="2"/>
            <w:hideMark/>
          </w:tcPr>
          <w:p w14:paraId="6612F258" w14:textId="77777777" w:rsidR="00F31610" w:rsidRPr="00064C5E" w:rsidRDefault="00F31610" w:rsidP="0042537D">
            <w:pPr>
              <w:spacing w:before="120" w:after="120"/>
              <w:jc w:val="left"/>
              <w:rPr>
                <w:rFonts w:eastAsia="Times New Roman"/>
                <w:b/>
                <w:bCs/>
                <w:lang w:eastAsia="hu-HU"/>
              </w:rPr>
            </w:pPr>
            <w:r w:rsidRPr="00342F1A">
              <w:rPr>
                <w:rFonts w:eastAsia="Times New Roman"/>
                <w:b/>
                <w:bCs/>
                <w:lang w:eastAsia="hu-HU"/>
              </w:rPr>
              <w:t>II.1.4</w:t>
            </w:r>
            <w:r w:rsidRPr="00064C5E">
              <w:rPr>
                <w:rFonts w:eastAsia="Times New Roman"/>
                <w:b/>
                <w:bCs/>
                <w:lang w:eastAsia="hu-HU"/>
              </w:rPr>
              <w:t>) A közbeszerzés rövid ismertetése:</w:t>
            </w:r>
          </w:p>
          <w:p w14:paraId="7FE817B2" w14:textId="37B6C865" w:rsidR="00425598" w:rsidRPr="000C3338" w:rsidRDefault="00AA41DA" w:rsidP="000C3338">
            <w:pPr>
              <w:spacing w:before="120" w:after="120"/>
              <w:jc w:val="left"/>
              <w:rPr>
                <w:rFonts w:eastAsia="Times New Roman"/>
                <w:lang w:eastAsia="hu-HU"/>
              </w:rPr>
            </w:pPr>
            <w:r w:rsidRPr="00901B1D">
              <w:t xml:space="preserve">Hatósági engedélyhez kötött </w:t>
            </w:r>
            <w:r w:rsidR="000C3338" w:rsidRPr="00901B1D">
              <w:t xml:space="preserve">Csanytelek </w:t>
            </w:r>
            <w:r w:rsidR="00591A8C">
              <w:t>Arany János utca (Hrsz: 500) belterületi szakasz 332</w:t>
            </w:r>
            <w:r w:rsidR="000C3338" w:rsidRPr="00901B1D">
              <w:t xml:space="preserve"> m2</w:t>
            </w:r>
            <w:r w:rsidR="00591A8C">
              <w:t xml:space="preserve"> útfelújítás</w:t>
            </w:r>
            <w:r w:rsidR="000C3338" w:rsidRPr="00901B1D">
              <w:t xml:space="preserve">, valamint </w:t>
            </w:r>
            <w:r w:rsidRPr="00901B1D">
              <w:t xml:space="preserve">hatósági engedélyhez nem kötött </w:t>
            </w:r>
            <w:r w:rsidR="00591A8C">
              <w:t>Baro</w:t>
            </w:r>
            <w:r w:rsidR="002A26B8">
              <w:t>s</w:t>
            </w:r>
            <w:r w:rsidR="00591A8C">
              <w:t xml:space="preserve">s Gábor utca belterületi szakasz 1840 m2 útfelújítás 0+334+0+814 között </w:t>
            </w:r>
            <w:r w:rsidR="000C3338" w:rsidRPr="00901B1D">
              <w:t xml:space="preserve">a kapcsolódó </w:t>
            </w:r>
            <w:r w:rsidR="005647BD" w:rsidRPr="00901B1D">
              <w:t xml:space="preserve">műszaki dokumentáció, </w:t>
            </w:r>
            <w:r w:rsidR="000C3338" w:rsidRPr="00901B1D">
              <w:t>engedélyes tervek és kiviteli tervek alapján.</w:t>
            </w:r>
          </w:p>
        </w:tc>
      </w:tr>
      <w:tr w:rsidR="00292440" w:rsidRPr="00292440" w14:paraId="7E640754" w14:textId="77777777" w:rsidTr="00F31610">
        <w:tc>
          <w:tcPr>
            <w:tcW w:w="0" w:type="auto"/>
            <w:gridSpan w:val="2"/>
            <w:hideMark/>
          </w:tcPr>
          <w:p w14:paraId="4A23EF1A"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II.1.5) Becsült érték:</w:t>
            </w:r>
            <w:r w:rsidRPr="00292440">
              <w:rPr>
                <w:rFonts w:eastAsia="Times New Roman"/>
                <w:lang w:eastAsia="hu-HU"/>
              </w:rPr>
              <w:t xml:space="preserve"> </w:t>
            </w:r>
            <w:proofErr w:type="gramStart"/>
            <w:r w:rsidRPr="00292440">
              <w:rPr>
                <w:rFonts w:eastAsia="Times New Roman"/>
                <w:lang w:eastAsia="hu-HU"/>
              </w:rPr>
              <w:t>[ ]</w:t>
            </w:r>
            <w:proofErr w:type="gramEnd"/>
            <w:r w:rsidRPr="00292440">
              <w:rPr>
                <w:rFonts w:eastAsia="Times New Roman"/>
                <w:lang w:eastAsia="hu-HU"/>
              </w:rPr>
              <w:t xml:space="preserve"> Pénznem: [ ][ ][ ]</w:t>
            </w:r>
          </w:p>
          <w:p w14:paraId="5F98A7A3" w14:textId="77777777" w:rsidR="00F31610" w:rsidRPr="00292440" w:rsidRDefault="00F31610" w:rsidP="0042537D">
            <w:pPr>
              <w:spacing w:before="120" w:after="120"/>
              <w:jc w:val="left"/>
              <w:rPr>
                <w:rFonts w:eastAsia="Times New Roman"/>
                <w:lang w:eastAsia="hu-HU"/>
              </w:rPr>
            </w:pPr>
            <w:r w:rsidRPr="00292440">
              <w:rPr>
                <w:rFonts w:eastAsia="Times New Roman"/>
                <w:i/>
                <w:iCs/>
                <w:lang w:eastAsia="hu-HU"/>
              </w:rPr>
              <w:t>(ÁFA nélkül; keretmegállapodás vagy dinamikus beszerzési rendszer esetében a szerződéseknek a keretmegállapodás vagy dinamikus beszerzési rendszer teljes időtartamára vonatkozó becsült összértéke)</w:t>
            </w:r>
          </w:p>
        </w:tc>
      </w:tr>
      <w:tr w:rsidR="00292440" w:rsidRPr="00292440" w14:paraId="29B40660" w14:textId="77777777" w:rsidTr="00F31610">
        <w:tc>
          <w:tcPr>
            <w:tcW w:w="0" w:type="auto"/>
            <w:gridSpan w:val="2"/>
            <w:hideMark/>
          </w:tcPr>
          <w:p w14:paraId="5E7A3007"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II.1.6) Részekre bontás</w:t>
            </w:r>
          </w:p>
          <w:p w14:paraId="109168F8" w14:textId="77777777" w:rsidR="00F31610" w:rsidRPr="00292440" w:rsidRDefault="00425598" w:rsidP="0042537D">
            <w:pPr>
              <w:spacing w:before="120" w:after="120"/>
              <w:jc w:val="left"/>
              <w:rPr>
                <w:rFonts w:eastAsia="Times New Roman"/>
                <w:lang w:eastAsia="hu-HU"/>
              </w:rPr>
            </w:pPr>
            <w:r w:rsidRPr="00425598">
              <w:rPr>
                <w:rFonts w:eastAsia="Times New Roman"/>
                <w:lang w:eastAsia="hu-HU"/>
              </w:rPr>
              <w:t></w:t>
            </w:r>
            <w:r w:rsidR="00382705" w:rsidRPr="00496F4C">
              <w:rPr>
                <w:rFonts w:eastAsia="Times New Roman"/>
                <w:lang w:eastAsia="hu-HU"/>
              </w:rPr>
              <w:t xml:space="preserve"> </w:t>
            </w:r>
            <w:r w:rsidR="00F31610" w:rsidRPr="00496F4C">
              <w:rPr>
                <w:rFonts w:eastAsia="Times New Roman"/>
                <w:lang w:eastAsia="hu-HU"/>
              </w:rPr>
              <w:t>Részajánlat tételére lehetőség van.</w:t>
            </w:r>
          </w:p>
          <w:p w14:paraId="35749F34"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Ajánlatok benyújthatók </w:t>
            </w:r>
            <w:r w:rsidR="00425598" w:rsidRPr="00292440">
              <w:rPr>
                <w:rFonts w:eastAsia="Times New Roman"/>
                <w:lang w:eastAsia="hu-HU"/>
              </w:rPr>
              <w:t></w:t>
            </w:r>
            <w:r w:rsidR="00382705" w:rsidRPr="00292440">
              <w:rPr>
                <w:rFonts w:eastAsia="Times New Roman"/>
                <w:lang w:eastAsia="hu-HU"/>
              </w:rPr>
              <w:t xml:space="preserve"> </w:t>
            </w:r>
            <w:r w:rsidRPr="00292440">
              <w:rPr>
                <w:rFonts w:eastAsia="Times New Roman"/>
                <w:lang w:eastAsia="hu-HU"/>
              </w:rPr>
              <w:t xml:space="preserve">valamennyi részre </w:t>
            </w:r>
            <w:r w:rsidRPr="00292440">
              <w:rPr>
                <w:rFonts w:eastAsia="Times New Roman"/>
                <w:lang w:eastAsia="hu-HU"/>
              </w:rPr>
              <w:t xml:space="preserve"> legfeljebb a következő számú részre: </w:t>
            </w:r>
            <w:proofErr w:type="gramStart"/>
            <w:r w:rsidRPr="00292440">
              <w:rPr>
                <w:rFonts w:eastAsia="Times New Roman"/>
                <w:lang w:eastAsia="hu-HU"/>
              </w:rPr>
              <w:t>[ ]</w:t>
            </w:r>
            <w:proofErr w:type="gramEnd"/>
            <w:r w:rsidRPr="00292440">
              <w:rPr>
                <w:rFonts w:eastAsia="Times New Roman"/>
                <w:lang w:eastAsia="hu-HU"/>
              </w:rPr>
              <w:t xml:space="preserve"> </w:t>
            </w:r>
            <w:r w:rsidRPr="00292440">
              <w:rPr>
                <w:rFonts w:eastAsia="Times New Roman"/>
                <w:lang w:eastAsia="hu-HU"/>
              </w:rPr>
              <w:t> csak egy részre</w:t>
            </w:r>
          </w:p>
          <w:p w14:paraId="560C4EB4"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 Az egy ajánlattevőnek odaítélhető részek maximális száma: </w:t>
            </w:r>
            <w:proofErr w:type="gramStart"/>
            <w:r w:rsidRPr="00292440">
              <w:rPr>
                <w:rFonts w:eastAsia="Times New Roman"/>
                <w:lang w:eastAsia="hu-HU"/>
              </w:rPr>
              <w:t>[ ]</w:t>
            </w:r>
            <w:proofErr w:type="gramEnd"/>
          </w:p>
          <w:p w14:paraId="31342DCD"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 Az ajánlatkérő fenntartja a jogot arra, hogy a következő részek vagy részcsoportok kombinációjával ítéljen oda szerződéseket: </w:t>
            </w:r>
          </w:p>
          <w:p w14:paraId="39CDE638" w14:textId="77777777" w:rsidR="00F31610" w:rsidRPr="00292440" w:rsidRDefault="00425598" w:rsidP="0042537D">
            <w:pPr>
              <w:spacing w:before="120" w:after="120"/>
              <w:jc w:val="left"/>
              <w:rPr>
                <w:rFonts w:eastAsia="Times New Roman"/>
                <w:lang w:eastAsia="hu-HU"/>
              </w:rPr>
            </w:pPr>
            <w:r w:rsidRPr="00DD1413">
              <w:rPr>
                <w:rFonts w:eastAsia="Times New Roman"/>
                <w:lang w:eastAsia="hu-HU"/>
              </w:rPr>
              <w:t>x</w:t>
            </w:r>
            <w:r w:rsidR="00606D33" w:rsidRPr="00DD1413">
              <w:rPr>
                <w:rFonts w:eastAsia="Times New Roman"/>
                <w:lang w:eastAsia="hu-HU"/>
              </w:rPr>
              <w:t xml:space="preserve"> </w:t>
            </w:r>
            <w:r w:rsidR="00F31610" w:rsidRPr="00DD1413">
              <w:rPr>
                <w:rFonts w:eastAsia="Times New Roman"/>
                <w:lang w:eastAsia="hu-HU"/>
              </w:rPr>
              <w:t>Részajánlat tételének lehetősége nem biztosított.</w:t>
            </w:r>
          </w:p>
          <w:p w14:paraId="15383E20" w14:textId="79A576D6" w:rsidR="00F31610" w:rsidRPr="00292440" w:rsidRDefault="00F31610" w:rsidP="00591A8C">
            <w:pPr>
              <w:autoSpaceDE w:val="0"/>
              <w:autoSpaceDN w:val="0"/>
              <w:adjustRightInd w:val="0"/>
              <w:rPr>
                <w:rFonts w:eastAsia="Times New Roman"/>
                <w:lang w:eastAsia="hu-HU"/>
              </w:rPr>
            </w:pPr>
            <w:r w:rsidRPr="00292440">
              <w:rPr>
                <w:rFonts w:eastAsia="Times New Roman"/>
                <w:lang w:eastAsia="hu-HU"/>
              </w:rPr>
              <w:t>A részajánlat tételének kizárásának indoka(i):</w:t>
            </w:r>
            <w:r w:rsidR="00E7054D" w:rsidRPr="00292440">
              <w:rPr>
                <w:rFonts w:eastAsia="Times New Roman"/>
                <w:lang w:eastAsia="hu-HU"/>
              </w:rPr>
              <w:t xml:space="preserve"> </w:t>
            </w:r>
            <w:r w:rsidR="00D1311A" w:rsidRPr="00D1311A">
              <w:rPr>
                <w:rFonts w:eastAsia="Times New Roman"/>
                <w:lang w:eastAsia="hu-HU"/>
              </w:rPr>
              <w:t xml:space="preserve">A gazdasági, műszaki és minőségi, illetve a szerződés teljesítésével kapcsolatos szempontok vizsgálata során Ajánlatkérő megállapította, hogy a közbeszerzés egy részére történő ajánlattétel nem egyeztethető össze a gazdasági észszerűséggel, tekintettel arra, hogy egy településen lévő </w:t>
            </w:r>
            <w:r w:rsidR="00223790">
              <w:rPr>
                <w:rFonts w:eastAsia="Times New Roman"/>
                <w:lang w:eastAsia="hu-HU"/>
              </w:rPr>
              <w:t xml:space="preserve">azonos projekt keretében megvalósuló </w:t>
            </w:r>
            <w:r w:rsidR="00D1311A" w:rsidRPr="00D1311A">
              <w:rPr>
                <w:rFonts w:eastAsia="Times New Roman"/>
                <w:lang w:eastAsia="hu-HU"/>
              </w:rPr>
              <w:t xml:space="preserve">út felújításáról szól a beruházás. A megvalósíthatóságot nehezítené, illetve ellehetetlenítené a részekre bontás, mivel több nyertes ajánlattevő jelenléte a tevékenységeik maradéktalan ellátását, határidők betartását veszélyeztetné. A feladatok munkarészekre való megbontása, ezzel több gazdasági szereplő részére történő munkaterület-átadás műszaki értelemben rendkívül aggályos és ésszerűtlen. Ez esetben minden gazdasági szereplő maga gondoskodna az anyagmozgatásról, az építési anyagok helyszínen történő deponálásáról, az építési munkaterület </w:t>
            </w:r>
            <w:proofErr w:type="gramStart"/>
            <w:r w:rsidR="00D1311A" w:rsidRPr="00D1311A">
              <w:rPr>
                <w:rFonts w:eastAsia="Times New Roman"/>
                <w:lang w:eastAsia="hu-HU"/>
              </w:rPr>
              <w:t>őrzéséről,</w:t>
            </w:r>
            <w:proofErr w:type="gramEnd"/>
            <w:r w:rsidR="00D1311A" w:rsidRPr="00D1311A">
              <w:rPr>
                <w:rFonts w:eastAsia="Times New Roman"/>
                <w:lang w:eastAsia="hu-HU"/>
              </w:rPr>
              <w:t xml:space="preserve"> stb. Ezen munkák </w:t>
            </w:r>
            <w:r w:rsidR="00AE7ED9">
              <w:rPr>
                <w:rFonts w:eastAsia="Times New Roman"/>
                <w:lang w:eastAsia="hu-HU"/>
              </w:rPr>
              <w:t>a</w:t>
            </w:r>
            <w:r w:rsidR="00AE7ED9" w:rsidRPr="00D1311A">
              <w:rPr>
                <w:rFonts w:eastAsia="Times New Roman"/>
                <w:lang w:eastAsia="hu-HU"/>
              </w:rPr>
              <w:t xml:space="preserve"> </w:t>
            </w:r>
            <w:r w:rsidR="00D1311A" w:rsidRPr="00D1311A">
              <w:rPr>
                <w:rFonts w:eastAsia="Times New Roman"/>
                <w:lang w:eastAsia="hu-HU"/>
              </w:rPr>
              <w:t>munkaterületen belül több gazdasági szereplővel nem hangolhatók össze, a kivitelezés során a közös munkaterület mindenképpen fennakadásokat, nem várt akadályközléseket és a teljesítés elhúzódását eredményezné.</w:t>
            </w:r>
            <w:r w:rsidR="00D1311A">
              <w:rPr>
                <w:rFonts w:eastAsia="Times New Roman"/>
                <w:lang w:eastAsia="hu-HU"/>
              </w:rPr>
              <w:t xml:space="preserve"> M</w:t>
            </w:r>
            <w:r w:rsidR="00D1311A" w:rsidRPr="00D1311A">
              <w:rPr>
                <w:rFonts w:eastAsia="Times New Roman"/>
                <w:lang w:eastAsia="hu-HU"/>
              </w:rPr>
              <w:t xml:space="preserve">indemellett kiemelendő, hogy </w:t>
            </w:r>
            <w:r w:rsidR="00AE7ED9">
              <w:rPr>
                <w:rFonts w:eastAsia="Times New Roman"/>
                <w:lang w:eastAsia="hu-HU"/>
              </w:rPr>
              <w:t>a</w:t>
            </w:r>
            <w:r w:rsidR="00AE7ED9" w:rsidRPr="00D1311A">
              <w:rPr>
                <w:rFonts w:eastAsia="Times New Roman"/>
                <w:lang w:eastAsia="hu-HU"/>
              </w:rPr>
              <w:t xml:space="preserve"> </w:t>
            </w:r>
            <w:r w:rsidR="00D1311A" w:rsidRPr="00D1311A">
              <w:rPr>
                <w:rFonts w:eastAsia="Times New Roman"/>
                <w:lang w:eastAsia="hu-HU"/>
              </w:rPr>
              <w:t xml:space="preserve">munkaterületen történő munkavégzés esetén a párhuzamosságok (mint a gazdasági szereplők közötti összehangoltság </w:t>
            </w:r>
            <w:proofErr w:type="gramStart"/>
            <w:r w:rsidR="00D1311A" w:rsidRPr="00D1311A">
              <w:rPr>
                <w:rFonts w:eastAsia="Times New Roman"/>
                <w:lang w:eastAsia="hu-HU"/>
              </w:rPr>
              <w:t>nélküli szállítások,</w:t>
            </w:r>
            <w:proofErr w:type="gramEnd"/>
            <w:r w:rsidR="00D1311A" w:rsidRPr="00D1311A">
              <w:rPr>
                <w:rFonts w:eastAsia="Times New Roman"/>
                <w:lang w:eastAsia="hu-HU"/>
              </w:rPr>
              <w:t xml:space="preserve"> vagy különböző, de azonos munkát végző alvállalkozók bevonása, stb.) a költségek</w:t>
            </w:r>
            <w:r w:rsidR="00D1311A">
              <w:rPr>
                <w:rFonts w:eastAsia="Times New Roman"/>
                <w:lang w:eastAsia="hu-HU"/>
              </w:rPr>
              <w:t xml:space="preserve"> </w:t>
            </w:r>
            <w:r w:rsidR="00D1311A" w:rsidRPr="00D1311A">
              <w:rPr>
                <w:rFonts w:eastAsia="Times New Roman"/>
                <w:lang w:eastAsia="hu-HU"/>
              </w:rPr>
              <w:t xml:space="preserve">emelkedését, adott esetben megsokszorozódását eredményezné, mely a gazdasági </w:t>
            </w:r>
            <w:proofErr w:type="spellStart"/>
            <w:r w:rsidR="00D1311A" w:rsidRPr="00D1311A">
              <w:rPr>
                <w:rFonts w:eastAsia="Times New Roman"/>
                <w:lang w:eastAsia="hu-HU"/>
              </w:rPr>
              <w:t>ésszerűséggel</w:t>
            </w:r>
            <w:proofErr w:type="spellEnd"/>
            <w:r w:rsidR="00D1311A" w:rsidRPr="00D1311A">
              <w:rPr>
                <w:rFonts w:eastAsia="Times New Roman"/>
                <w:lang w:eastAsia="hu-HU"/>
              </w:rPr>
              <w:t xml:space="preserve"> összeegyeztethetetlen. Az egyértelmű felelősségvállalást, garanciát csak egészben történő ajánlattétellel és ki</w:t>
            </w:r>
            <w:r w:rsidR="00D1311A">
              <w:rPr>
                <w:rFonts w:eastAsia="Times New Roman"/>
                <w:lang w:eastAsia="hu-HU"/>
              </w:rPr>
              <w:t>vitelezéssel lehet biztosítani.</w:t>
            </w:r>
          </w:p>
        </w:tc>
      </w:tr>
    </w:tbl>
    <w:p w14:paraId="7A6565EA"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 xml:space="preserve">II.2) A közbeszerzés ismertetése </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62"/>
        <w:gridCol w:w="2733"/>
      </w:tblGrid>
      <w:tr w:rsidR="00292440" w:rsidRPr="00292440" w14:paraId="2B4DFBF1" w14:textId="77777777" w:rsidTr="00342F1A">
        <w:tc>
          <w:tcPr>
            <w:tcW w:w="7212" w:type="dxa"/>
            <w:hideMark/>
          </w:tcPr>
          <w:p w14:paraId="1F03C86E" w14:textId="77777777" w:rsidR="00F31610" w:rsidRPr="00292440" w:rsidRDefault="00F31610" w:rsidP="00494D2B">
            <w:pPr>
              <w:spacing w:before="120" w:after="120"/>
              <w:jc w:val="left"/>
              <w:rPr>
                <w:rFonts w:eastAsia="Times New Roman"/>
                <w:lang w:eastAsia="hu-HU"/>
              </w:rPr>
            </w:pPr>
            <w:r w:rsidRPr="00292440">
              <w:rPr>
                <w:rFonts w:eastAsia="Times New Roman"/>
                <w:b/>
                <w:bCs/>
                <w:lang w:eastAsia="hu-HU"/>
              </w:rPr>
              <w:t xml:space="preserve">II.2.1) Elnevezés: </w:t>
            </w:r>
            <w:r w:rsidR="00494D2B">
              <w:t>Belterületi utak felújítása</w:t>
            </w:r>
          </w:p>
        </w:tc>
        <w:tc>
          <w:tcPr>
            <w:tcW w:w="2583" w:type="dxa"/>
            <w:hideMark/>
          </w:tcPr>
          <w:p w14:paraId="6F2CF8B4" w14:textId="77777777" w:rsidR="00F31610" w:rsidRPr="00292440" w:rsidRDefault="00F31610" w:rsidP="00133FB1">
            <w:pPr>
              <w:spacing w:before="120" w:after="120"/>
              <w:jc w:val="left"/>
              <w:rPr>
                <w:rFonts w:eastAsia="Times New Roman"/>
                <w:lang w:eastAsia="hu-HU"/>
              </w:rPr>
            </w:pPr>
            <w:r w:rsidRPr="00292440">
              <w:rPr>
                <w:rFonts w:eastAsia="Times New Roman"/>
                <w:lang w:eastAsia="hu-HU"/>
              </w:rPr>
              <w:t xml:space="preserve">Rész száma: </w:t>
            </w:r>
          </w:p>
        </w:tc>
      </w:tr>
      <w:tr w:rsidR="00292440" w:rsidRPr="00292440" w14:paraId="2414034B" w14:textId="77777777" w:rsidTr="00F31610">
        <w:tc>
          <w:tcPr>
            <w:tcW w:w="0" w:type="auto"/>
            <w:gridSpan w:val="2"/>
            <w:hideMark/>
          </w:tcPr>
          <w:p w14:paraId="69C70B6A"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lastRenderedPageBreak/>
              <w:t>II.2.2) További CPV-kód(ok):</w:t>
            </w:r>
            <w:r w:rsidRPr="00292440">
              <w:rPr>
                <w:rFonts w:eastAsia="Times New Roman"/>
                <w:lang w:eastAsia="hu-HU"/>
              </w:rPr>
              <w:t xml:space="preserve"> </w:t>
            </w:r>
          </w:p>
          <w:p w14:paraId="140DCA8F" w14:textId="77777777" w:rsidR="003D5522" w:rsidRPr="00292440" w:rsidRDefault="00F31610" w:rsidP="00133FB1">
            <w:pPr>
              <w:spacing w:before="120" w:after="120"/>
              <w:jc w:val="left"/>
              <w:rPr>
                <w:rFonts w:eastAsia="Times New Roman"/>
                <w:lang w:eastAsia="hu-HU"/>
              </w:rPr>
            </w:pPr>
            <w:r w:rsidRPr="00292440">
              <w:rPr>
                <w:rFonts w:eastAsia="Times New Roman"/>
                <w:lang w:eastAsia="hu-HU"/>
              </w:rPr>
              <w:t xml:space="preserve">Fő CPV-kód: </w:t>
            </w:r>
          </w:p>
          <w:p w14:paraId="0BB987FA" w14:textId="77777777" w:rsidR="00B0075F" w:rsidRDefault="00B0075F" w:rsidP="00B0075F">
            <w:pPr>
              <w:spacing w:before="120" w:after="120"/>
              <w:jc w:val="left"/>
            </w:pPr>
            <w:r w:rsidRPr="00D1311A">
              <w:t>45233228-3    Útburkolat építése</w:t>
            </w:r>
          </w:p>
          <w:p w14:paraId="67A229E8" w14:textId="77777777" w:rsidR="00B0075F" w:rsidRDefault="00B0075F" w:rsidP="00B0075F">
            <w:pPr>
              <w:spacing w:before="120" w:after="120"/>
              <w:jc w:val="left"/>
            </w:pPr>
            <w:r w:rsidRPr="000C3338">
              <w:t>45233220-7    Közút burkolása</w:t>
            </w:r>
          </w:p>
          <w:p w14:paraId="532E89F0" w14:textId="77777777" w:rsidR="00B0075F" w:rsidRPr="00D1311A" w:rsidRDefault="00B0075F" w:rsidP="00B0075F">
            <w:pPr>
              <w:spacing w:before="120" w:after="120"/>
              <w:jc w:val="left"/>
            </w:pPr>
            <w:r w:rsidRPr="000C3338">
              <w:t>45233251-3    </w:t>
            </w:r>
            <w:proofErr w:type="spellStart"/>
            <w:r w:rsidRPr="000C3338">
              <w:t>Újraburkolás</w:t>
            </w:r>
            <w:proofErr w:type="spellEnd"/>
          </w:p>
          <w:p w14:paraId="5C3CD068" w14:textId="77777777" w:rsidR="00F31610" w:rsidRPr="00292440" w:rsidRDefault="00F31610" w:rsidP="006C251F">
            <w:pPr>
              <w:spacing w:before="120" w:after="120"/>
              <w:jc w:val="left"/>
              <w:rPr>
                <w:rFonts w:eastAsia="Times New Roman"/>
                <w:lang w:eastAsia="hu-HU"/>
              </w:rPr>
            </w:pPr>
            <w:r w:rsidRPr="00292440">
              <w:rPr>
                <w:rFonts w:eastAsia="Times New Roman"/>
                <w:lang w:eastAsia="hu-HU"/>
              </w:rPr>
              <w:t xml:space="preserve">Kiegészítő CPV-kód: </w:t>
            </w:r>
            <w:proofErr w:type="gramStart"/>
            <w:r w:rsidRPr="00292440">
              <w:rPr>
                <w:rFonts w:eastAsia="Times New Roman"/>
                <w:lang w:eastAsia="hu-HU"/>
              </w:rPr>
              <w:t>[ ]</w:t>
            </w:r>
            <w:proofErr w:type="gramEnd"/>
            <w:r w:rsidRPr="00292440">
              <w:rPr>
                <w:rFonts w:eastAsia="Times New Roman"/>
                <w:lang w:eastAsia="hu-HU"/>
              </w:rPr>
              <w:t>[ ][ ][ ]</w:t>
            </w:r>
          </w:p>
        </w:tc>
      </w:tr>
      <w:tr w:rsidR="00292440" w:rsidRPr="00292440" w14:paraId="6FEDCBA3" w14:textId="77777777" w:rsidTr="00F31610">
        <w:tc>
          <w:tcPr>
            <w:tcW w:w="0" w:type="auto"/>
            <w:gridSpan w:val="2"/>
            <w:hideMark/>
          </w:tcPr>
          <w:p w14:paraId="2ECF2219"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II.2.3) A teljesítés helye:</w:t>
            </w:r>
          </w:p>
          <w:p w14:paraId="5B5BE85B" w14:textId="77777777" w:rsidR="00F31610" w:rsidRPr="00292440" w:rsidRDefault="00F31610" w:rsidP="00E22916">
            <w:pPr>
              <w:spacing w:before="120" w:after="120"/>
              <w:jc w:val="left"/>
              <w:rPr>
                <w:rFonts w:eastAsia="Times New Roman"/>
                <w:lang w:eastAsia="hu-HU"/>
              </w:rPr>
            </w:pPr>
            <w:r w:rsidRPr="00292440">
              <w:rPr>
                <w:rFonts w:eastAsia="Times New Roman"/>
                <w:lang w:eastAsia="hu-HU"/>
              </w:rPr>
              <w:t xml:space="preserve">NUTS-kód: </w:t>
            </w:r>
            <w:r w:rsidR="00133FB1" w:rsidRPr="00292440">
              <w:rPr>
                <w:rFonts w:eastAsia="Times New Roman"/>
                <w:b/>
                <w:lang w:eastAsia="hu-HU"/>
              </w:rPr>
              <w:t>HU33</w:t>
            </w:r>
            <w:r w:rsidR="00DD1413">
              <w:rPr>
                <w:rFonts w:eastAsia="Times New Roman"/>
                <w:b/>
                <w:lang w:eastAsia="hu-HU"/>
              </w:rPr>
              <w:t>3</w:t>
            </w:r>
            <w:r w:rsidRPr="00292440">
              <w:rPr>
                <w:rFonts w:eastAsia="Times New Roman"/>
                <w:lang w:eastAsia="hu-HU"/>
              </w:rPr>
              <w:t xml:space="preserve"> A teljesítés </w:t>
            </w:r>
            <w:r w:rsidRPr="00901B1D">
              <w:rPr>
                <w:rFonts w:eastAsia="Times New Roman"/>
                <w:lang w:eastAsia="hu-HU"/>
              </w:rPr>
              <w:t>helye:</w:t>
            </w:r>
            <w:r w:rsidR="00133FB1" w:rsidRPr="00901B1D">
              <w:rPr>
                <w:rFonts w:eastAsia="Times New Roman"/>
                <w:lang w:eastAsia="hu-HU"/>
              </w:rPr>
              <w:t xml:space="preserve"> </w:t>
            </w:r>
            <w:r w:rsidR="00494D2B" w:rsidRPr="00901B1D">
              <w:t xml:space="preserve">6647 </w:t>
            </w:r>
            <w:r w:rsidR="00E22916" w:rsidRPr="00901B1D">
              <w:t>Csanytelek</w:t>
            </w:r>
            <w:r w:rsidR="00606D33" w:rsidRPr="00901B1D">
              <w:t xml:space="preserve"> település belterülete</w:t>
            </w:r>
          </w:p>
        </w:tc>
      </w:tr>
      <w:tr w:rsidR="00292440" w:rsidRPr="00292440" w14:paraId="47616B42" w14:textId="77777777" w:rsidTr="00F31610">
        <w:tc>
          <w:tcPr>
            <w:tcW w:w="0" w:type="auto"/>
            <w:gridSpan w:val="2"/>
            <w:hideMark/>
          </w:tcPr>
          <w:p w14:paraId="10AA3197" w14:textId="77777777" w:rsidR="00F31610" w:rsidRDefault="00F31610" w:rsidP="0042537D">
            <w:pPr>
              <w:spacing w:before="120" w:after="120"/>
              <w:jc w:val="left"/>
              <w:rPr>
                <w:rFonts w:eastAsia="Times New Roman"/>
                <w:lang w:eastAsia="hu-HU"/>
              </w:rPr>
            </w:pPr>
            <w:r w:rsidRPr="00DD1413">
              <w:rPr>
                <w:rFonts w:eastAsia="Times New Roman"/>
                <w:b/>
                <w:bCs/>
                <w:lang w:eastAsia="hu-HU"/>
              </w:rPr>
              <w:t>II.2.4) A közbeszerzés mennyisége:</w:t>
            </w:r>
            <w:r w:rsidRPr="00DD1413">
              <w:rPr>
                <w:rFonts w:eastAsia="Times New Roman"/>
                <w:lang w:eastAsia="hu-HU"/>
              </w:rPr>
              <w:t xml:space="preserve"> </w:t>
            </w:r>
          </w:p>
          <w:p w14:paraId="64401462" w14:textId="7A328A3A" w:rsidR="00591A8C" w:rsidRDefault="00591A8C" w:rsidP="00C76E46">
            <w:pPr>
              <w:autoSpaceDE w:val="0"/>
              <w:autoSpaceDN w:val="0"/>
              <w:adjustRightInd w:val="0"/>
              <w:jc w:val="left"/>
            </w:pPr>
            <w:r w:rsidRPr="00901B1D">
              <w:t xml:space="preserve">Hatósági engedélyhez kötött Csanytelek </w:t>
            </w:r>
            <w:r>
              <w:t>Arany János utca (Hrsz: 500) belterületi szakasz 332</w:t>
            </w:r>
            <w:r w:rsidRPr="00901B1D">
              <w:t xml:space="preserve"> m2</w:t>
            </w:r>
            <w:r>
              <w:t xml:space="preserve"> útfelújítás</w:t>
            </w:r>
            <w:r w:rsidRPr="00901B1D">
              <w:t xml:space="preserve">, valamint hatósági engedélyhez nem kötött </w:t>
            </w:r>
            <w:r>
              <w:t>Baros</w:t>
            </w:r>
            <w:r w:rsidR="002A26B8">
              <w:t>s</w:t>
            </w:r>
            <w:r>
              <w:t xml:space="preserve"> Gábor utca belterületi szakasz 1840 m2 útfelújítás 0+334+0+814 között </w:t>
            </w:r>
            <w:r w:rsidRPr="00901B1D">
              <w:t>a kapcsolódó műszaki dokumentáció, engedélyes tervek és kiviteli tervek alapján.</w:t>
            </w:r>
          </w:p>
          <w:p w14:paraId="7C54508A" w14:textId="77777777" w:rsidR="00591A8C" w:rsidRDefault="00591A8C" w:rsidP="00C76E46">
            <w:pPr>
              <w:autoSpaceDE w:val="0"/>
              <w:autoSpaceDN w:val="0"/>
              <w:adjustRightInd w:val="0"/>
              <w:jc w:val="left"/>
              <w:rPr>
                <w:rFonts w:eastAsia="Times New Roman"/>
              </w:rPr>
            </w:pPr>
          </w:p>
          <w:p w14:paraId="020BF658" w14:textId="095AD2C4" w:rsidR="00824F10" w:rsidRPr="00DD1413" w:rsidRDefault="00687951" w:rsidP="00C76E46">
            <w:pPr>
              <w:autoSpaceDE w:val="0"/>
              <w:autoSpaceDN w:val="0"/>
              <w:adjustRightInd w:val="0"/>
              <w:jc w:val="left"/>
              <w:rPr>
                <w:rFonts w:eastAsia="Times New Roman"/>
                <w:lang w:eastAsia="hu-HU"/>
              </w:rPr>
            </w:pPr>
            <w:r w:rsidRPr="00DD1413">
              <w:rPr>
                <w:rFonts w:eastAsia="Times New Roman"/>
                <w:lang w:eastAsia="hu-HU"/>
              </w:rPr>
              <w:t>A részletes műszaki elvárásokat a dokumentáció tartalmazza.</w:t>
            </w:r>
          </w:p>
          <w:p w14:paraId="1FF64FD5" w14:textId="77777777" w:rsidR="00F31610" w:rsidRPr="00064C5E" w:rsidRDefault="00F31610" w:rsidP="004B74E9">
            <w:pPr>
              <w:autoSpaceDE w:val="0"/>
              <w:autoSpaceDN w:val="0"/>
              <w:adjustRightInd w:val="0"/>
              <w:jc w:val="left"/>
              <w:rPr>
                <w:rFonts w:eastAsia="Times New Roman"/>
                <w:highlight w:val="yellow"/>
                <w:lang w:eastAsia="hu-HU"/>
              </w:rPr>
            </w:pPr>
            <w:r w:rsidRPr="00DD1413">
              <w:rPr>
                <w:rFonts w:eastAsia="Times New Roman"/>
                <w:i/>
                <w:iCs/>
                <w:lang w:eastAsia="hu-HU"/>
              </w:rPr>
              <w:t>(az építési beruházás, árubeszerzés vagy szolgáltatás jellege és mennyisége, illetve az igények és követelmények meghatározása)</w:t>
            </w:r>
          </w:p>
        </w:tc>
      </w:tr>
      <w:tr w:rsidR="00292440" w:rsidRPr="00292440" w14:paraId="66F060CE" w14:textId="77777777" w:rsidTr="00F31610">
        <w:tc>
          <w:tcPr>
            <w:tcW w:w="0" w:type="auto"/>
            <w:gridSpan w:val="2"/>
            <w:hideMark/>
          </w:tcPr>
          <w:p w14:paraId="7F5C9B63" w14:textId="77777777" w:rsidR="00F31610" w:rsidRPr="002E7FD5" w:rsidRDefault="00F31610" w:rsidP="0042537D">
            <w:pPr>
              <w:spacing w:before="120" w:after="120"/>
              <w:jc w:val="left"/>
              <w:rPr>
                <w:rFonts w:eastAsia="Times New Roman"/>
                <w:lang w:eastAsia="hu-HU"/>
              </w:rPr>
            </w:pPr>
            <w:r w:rsidRPr="002E7FD5">
              <w:rPr>
                <w:rFonts w:eastAsia="Times New Roman"/>
                <w:b/>
                <w:bCs/>
                <w:lang w:eastAsia="hu-HU"/>
              </w:rPr>
              <w:t>II.2.5) Értékelési szempontok</w:t>
            </w:r>
          </w:p>
          <w:p w14:paraId="1EC2320F" w14:textId="77777777" w:rsidR="00F31610" w:rsidRPr="002E7FD5" w:rsidRDefault="00326ED2" w:rsidP="0042537D">
            <w:pPr>
              <w:spacing w:before="120" w:after="120"/>
              <w:jc w:val="left"/>
              <w:rPr>
                <w:rFonts w:eastAsia="Times New Roman"/>
                <w:lang w:eastAsia="hu-HU"/>
              </w:rPr>
            </w:pPr>
            <w:r w:rsidRPr="002E7FD5">
              <w:rPr>
                <w:rFonts w:eastAsia="Times New Roman"/>
                <w:lang w:eastAsia="hu-HU"/>
              </w:rPr>
              <w:t xml:space="preserve">X </w:t>
            </w:r>
            <w:r w:rsidR="00F31610" w:rsidRPr="002E7FD5">
              <w:rPr>
                <w:rFonts w:eastAsia="Times New Roman"/>
                <w:lang w:eastAsia="hu-HU"/>
              </w:rPr>
              <w:t>Az alábbi értékelési szempontok</w:t>
            </w:r>
          </w:p>
          <w:p w14:paraId="1B071E20" w14:textId="77777777" w:rsidR="00F31610" w:rsidRPr="002E7FD5" w:rsidRDefault="00F31610" w:rsidP="00166694">
            <w:pPr>
              <w:spacing w:before="120" w:after="120"/>
              <w:ind w:left="181"/>
              <w:jc w:val="left"/>
              <w:rPr>
                <w:rFonts w:eastAsia="Times New Roman"/>
                <w:lang w:eastAsia="hu-HU"/>
              </w:rPr>
            </w:pPr>
            <w:r w:rsidRPr="002E7FD5">
              <w:rPr>
                <w:rFonts w:eastAsia="Times New Roman"/>
                <w:lang w:eastAsia="hu-HU"/>
              </w:rPr>
              <w:t xml:space="preserve"> </w:t>
            </w:r>
            <w:r w:rsidR="008164F4">
              <w:rPr>
                <w:rFonts w:eastAsia="Times New Roman"/>
                <w:lang w:eastAsia="hu-HU"/>
              </w:rPr>
              <w:t>x</w:t>
            </w:r>
            <w:r w:rsidR="008164F4" w:rsidRPr="002E7FD5">
              <w:rPr>
                <w:rFonts w:eastAsia="Times New Roman"/>
                <w:lang w:eastAsia="hu-HU"/>
              </w:rPr>
              <w:t xml:space="preserve"> </w:t>
            </w:r>
            <w:r w:rsidRPr="002E7FD5">
              <w:rPr>
                <w:rFonts w:eastAsia="Times New Roman"/>
                <w:lang w:eastAsia="hu-HU"/>
              </w:rPr>
              <w:t xml:space="preserve">Minőségi szempont – Megnevezés: / Súlyszám: </w:t>
            </w:r>
            <w:r w:rsidR="000E074C" w:rsidRPr="002E7FD5">
              <w:rPr>
                <w:rFonts w:eastAsia="Times New Roman"/>
                <w:lang w:eastAsia="hu-HU"/>
              </w:rPr>
              <w:t>-</w:t>
            </w:r>
          </w:p>
          <w:p w14:paraId="7B1B7FB2" w14:textId="77777777" w:rsidR="00F31610" w:rsidRPr="002E7FD5" w:rsidRDefault="00F31610" w:rsidP="00166694">
            <w:pPr>
              <w:spacing w:before="120" w:after="120"/>
              <w:ind w:left="181"/>
              <w:jc w:val="left"/>
              <w:rPr>
                <w:rFonts w:eastAsia="Times New Roman"/>
                <w:lang w:eastAsia="hu-HU"/>
              </w:rPr>
            </w:pPr>
            <w:r w:rsidRPr="002E7FD5">
              <w:rPr>
                <w:rFonts w:eastAsia="Times New Roman"/>
                <w:lang w:eastAsia="hu-HU"/>
              </w:rPr>
              <w:t xml:space="preserve"> Költség szempont – Megnevezés: / Súlyszám: </w:t>
            </w:r>
          </w:p>
          <w:p w14:paraId="68FEDA34" w14:textId="1D75B121" w:rsidR="008164F4" w:rsidRPr="00901B1D" w:rsidRDefault="008164F4" w:rsidP="008164F4">
            <w:pPr>
              <w:autoSpaceDE w:val="0"/>
              <w:autoSpaceDN w:val="0"/>
              <w:adjustRightInd w:val="0"/>
              <w:jc w:val="left"/>
              <w:rPr>
                <w:rFonts w:eastAsia="Times New Roman"/>
                <w:lang w:eastAsia="hu-HU"/>
              </w:rPr>
            </w:pPr>
            <w:r w:rsidRPr="00901B1D">
              <w:rPr>
                <w:rFonts w:eastAsia="Times New Roman"/>
                <w:lang w:eastAsia="hu-HU"/>
              </w:rPr>
              <w:t>X</w:t>
            </w:r>
            <w:r w:rsidRPr="00901B1D">
              <w:rPr>
                <w:rFonts w:ascii="FiraSans-Medium" w:hAnsi="FiraSans-Medium" w:cs="FiraSans-Medium"/>
                <w:color w:val="33669A"/>
                <w:sz w:val="21"/>
                <w:szCs w:val="21"/>
                <w:lang w:eastAsia="hu-HU"/>
              </w:rPr>
              <w:t xml:space="preserve"> </w:t>
            </w:r>
            <w:r w:rsidR="00332B56" w:rsidRPr="00901B1D">
              <w:rPr>
                <w:rFonts w:eastAsia="Times New Roman"/>
                <w:lang w:eastAsia="hu-HU"/>
              </w:rPr>
              <w:t>A felhívás III.1.3) M.2</w:t>
            </w:r>
            <w:r w:rsidRPr="00901B1D">
              <w:rPr>
                <w:rFonts w:eastAsia="Times New Roman"/>
                <w:lang w:eastAsia="hu-HU"/>
              </w:rPr>
              <w:t xml:space="preserve">. pont </w:t>
            </w:r>
            <w:r w:rsidR="009F63D5" w:rsidRPr="00901B1D">
              <w:rPr>
                <w:rFonts w:eastAsia="Times New Roman"/>
                <w:lang w:eastAsia="hu-HU"/>
              </w:rPr>
              <w:t xml:space="preserve">alkalmassági követelményre bemutatott szakember alkalmasságon felüli szakmai </w:t>
            </w:r>
            <w:r w:rsidR="009F63D5" w:rsidRPr="006917D8">
              <w:rPr>
                <w:rFonts w:eastAsia="Times New Roman"/>
                <w:lang w:eastAsia="hu-HU"/>
              </w:rPr>
              <w:t xml:space="preserve">tapasztalata </w:t>
            </w:r>
            <w:r w:rsidR="00B62CC3" w:rsidRPr="006917D8">
              <w:rPr>
                <w:rFonts w:eastAsia="Times New Roman"/>
                <w:lang w:eastAsia="hu-HU"/>
              </w:rPr>
              <w:t xml:space="preserve">(min. 0-max. </w:t>
            </w:r>
            <w:r w:rsidR="00591A8C" w:rsidRPr="006917D8">
              <w:rPr>
                <w:rFonts w:eastAsia="Times New Roman"/>
                <w:lang w:eastAsia="hu-HU"/>
              </w:rPr>
              <w:t>6</w:t>
            </w:r>
            <w:r w:rsidR="00B62CC3" w:rsidRPr="006917D8">
              <w:rPr>
                <w:rFonts w:eastAsia="Times New Roman"/>
                <w:lang w:eastAsia="hu-HU"/>
              </w:rPr>
              <w:t>0</w:t>
            </w:r>
            <w:r w:rsidRPr="006917D8">
              <w:rPr>
                <w:rFonts w:eastAsia="Times New Roman"/>
                <w:lang w:eastAsia="hu-HU"/>
              </w:rPr>
              <w:t xml:space="preserve"> hónap) /Súlyszám</w:t>
            </w:r>
            <w:r w:rsidR="00542CDB" w:rsidRPr="006917D8">
              <w:rPr>
                <w:rFonts w:eastAsia="Times New Roman"/>
                <w:lang w:eastAsia="hu-HU"/>
              </w:rPr>
              <w:t>:</w:t>
            </w:r>
            <w:r w:rsidR="00E22916" w:rsidRPr="006917D8">
              <w:rPr>
                <w:rFonts w:eastAsia="Times New Roman"/>
                <w:lang w:eastAsia="hu-HU"/>
              </w:rPr>
              <w:t xml:space="preserve"> 1</w:t>
            </w:r>
            <w:r w:rsidR="00591A8C" w:rsidRPr="006917D8">
              <w:rPr>
                <w:rFonts w:eastAsia="Times New Roman"/>
                <w:lang w:eastAsia="hu-HU"/>
              </w:rPr>
              <w:t>0</w:t>
            </w:r>
          </w:p>
          <w:p w14:paraId="1405F78D" w14:textId="31D22734" w:rsidR="008164F4" w:rsidRDefault="008164F4" w:rsidP="00591A8C">
            <w:pPr>
              <w:spacing w:before="120" w:after="120"/>
              <w:jc w:val="left"/>
              <w:rPr>
                <w:rFonts w:eastAsia="Times New Roman"/>
                <w:lang w:eastAsia="hu-HU"/>
              </w:rPr>
            </w:pPr>
            <w:r w:rsidRPr="00901B1D">
              <w:rPr>
                <w:rFonts w:eastAsia="Times New Roman"/>
                <w:lang w:eastAsia="hu-HU"/>
              </w:rPr>
              <w:t xml:space="preserve">X </w:t>
            </w:r>
            <w:r w:rsidR="00591A8C" w:rsidRPr="00591A8C">
              <w:rPr>
                <w:rFonts w:eastAsia="Times New Roman"/>
                <w:lang w:eastAsia="hu-HU"/>
              </w:rPr>
              <w:t>Kiszállási idő a garanciális javítási munkákhoz munkanapokon, meghibásodás bejelentését</w:t>
            </w:r>
            <w:r w:rsidR="00591A8C">
              <w:rPr>
                <w:rFonts w:eastAsia="Times New Roman"/>
                <w:lang w:eastAsia="hu-HU"/>
              </w:rPr>
              <w:t xml:space="preserve"> k</w:t>
            </w:r>
            <w:r w:rsidR="00591A8C" w:rsidRPr="00591A8C">
              <w:rPr>
                <w:rFonts w:eastAsia="Times New Roman"/>
                <w:lang w:eastAsia="hu-HU"/>
              </w:rPr>
              <w:t>övetően</w:t>
            </w:r>
            <w:r w:rsidR="00B16718">
              <w:rPr>
                <w:rFonts w:eastAsia="Times New Roman"/>
                <w:lang w:eastAsia="hu-HU"/>
              </w:rPr>
              <w:t xml:space="preserve"> – </w:t>
            </w:r>
            <w:r w:rsidR="00591A8C" w:rsidRPr="00591A8C">
              <w:rPr>
                <w:rFonts w:eastAsia="Times New Roman"/>
                <w:lang w:eastAsia="hu-HU"/>
              </w:rPr>
              <w:t xml:space="preserve">(min. 2 óra, </w:t>
            </w:r>
            <w:proofErr w:type="spellStart"/>
            <w:r w:rsidR="00591A8C" w:rsidRPr="00591A8C">
              <w:rPr>
                <w:rFonts w:eastAsia="Times New Roman"/>
                <w:lang w:eastAsia="hu-HU"/>
              </w:rPr>
              <w:t>max</w:t>
            </w:r>
            <w:proofErr w:type="spellEnd"/>
            <w:r w:rsidR="00591A8C" w:rsidRPr="00591A8C">
              <w:rPr>
                <w:rFonts w:eastAsia="Times New Roman"/>
                <w:lang w:eastAsia="hu-HU"/>
              </w:rPr>
              <w:t xml:space="preserve">. </w:t>
            </w:r>
            <w:r w:rsidR="00B16718">
              <w:rPr>
                <w:rFonts w:eastAsia="Times New Roman"/>
                <w:lang w:eastAsia="hu-HU"/>
              </w:rPr>
              <w:t>72</w:t>
            </w:r>
            <w:r w:rsidR="00591A8C" w:rsidRPr="00591A8C">
              <w:rPr>
                <w:rFonts w:eastAsia="Times New Roman"/>
                <w:lang w:eastAsia="hu-HU"/>
              </w:rPr>
              <w:t xml:space="preserve"> óra)</w:t>
            </w:r>
            <w:r w:rsidR="00591A8C">
              <w:rPr>
                <w:rFonts w:eastAsia="Times New Roman"/>
                <w:lang w:eastAsia="hu-HU"/>
              </w:rPr>
              <w:t xml:space="preserve"> </w:t>
            </w:r>
            <w:r w:rsidRPr="00901B1D">
              <w:rPr>
                <w:rFonts w:eastAsia="Times New Roman"/>
                <w:lang w:eastAsia="hu-HU"/>
              </w:rPr>
              <w:t>/ Súlyszám</w:t>
            </w:r>
            <w:r w:rsidR="00542CDB" w:rsidRPr="00901B1D">
              <w:rPr>
                <w:rFonts w:eastAsia="Times New Roman"/>
                <w:lang w:eastAsia="hu-HU"/>
              </w:rPr>
              <w:t>:</w:t>
            </w:r>
            <w:r w:rsidR="009F63D5" w:rsidRPr="00901B1D">
              <w:rPr>
                <w:rFonts w:eastAsia="Times New Roman"/>
                <w:lang w:eastAsia="hu-HU"/>
              </w:rPr>
              <w:t xml:space="preserve"> 1</w:t>
            </w:r>
            <w:r w:rsidR="00591A8C">
              <w:rPr>
                <w:rFonts w:eastAsia="Times New Roman"/>
                <w:lang w:eastAsia="hu-HU"/>
              </w:rPr>
              <w:t>0</w:t>
            </w:r>
          </w:p>
          <w:p w14:paraId="50C76C4B" w14:textId="3670626B" w:rsidR="00591A8C" w:rsidRPr="00901B1D" w:rsidRDefault="00591A8C" w:rsidP="00591A8C">
            <w:pPr>
              <w:spacing w:before="120" w:after="120"/>
              <w:jc w:val="left"/>
              <w:rPr>
                <w:rFonts w:eastAsia="Times New Roman"/>
                <w:lang w:eastAsia="hu-HU"/>
              </w:rPr>
            </w:pPr>
            <w:r>
              <w:rPr>
                <w:rFonts w:eastAsia="Times New Roman"/>
                <w:lang w:eastAsia="hu-HU"/>
              </w:rPr>
              <w:t>X Hátrányos helyzetű munkavállalók alkalmazása (0-3 fő) / Súlyszám: 10</w:t>
            </w:r>
          </w:p>
          <w:p w14:paraId="43F69CF6" w14:textId="77777777" w:rsidR="0013481D" w:rsidRPr="002E7FD5" w:rsidRDefault="0013481D" w:rsidP="00166694">
            <w:pPr>
              <w:spacing w:before="120" w:after="120"/>
              <w:jc w:val="left"/>
              <w:rPr>
                <w:rFonts w:eastAsia="Times New Roman"/>
                <w:lang w:eastAsia="hu-HU"/>
              </w:rPr>
            </w:pPr>
            <w:r w:rsidRPr="00901B1D">
              <w:rPr>
                <w:rFonts w:eastAsia="Times New Roman"/>
                <w:lang w:eastAsia="hu-HU"/>
              </w:rPr>
              <w:t>x Ár szempont – Megnevezés: Nettó ajánlati ár (Ft) / Súlyszám: 70</w:t>
            </w:r>
          </w:p>
        </w:tc>
      </w:tr>
      <w:tr w:rsidR="00292440" w:rsidRPr="00292440" w14:paraId="0784B42A" w14:textId="77777777" w:rsidTr="00F31610">
        <w:tc>
          <w:tcPr>
            <w:tcW w:w="0" w:type="auto"/>
            <w:gridSpan w:val="2"/>
            <w:hideMark/>
          </w:tcPr>
          <w:p w14:paraId="2EBEBE11" w14:textId="77777777" w:rsidR="00F31610" w:rsidRPr="002E7FD5" w:rsidRDefault="00F31610" w:rsidP="0042537D">
            <w:pPr>
              <w:spacing w:before="120" w:after="120"/>
              <w:jc w:val="left"/>
              <w:rPr>
                <w:rFonts w:eastAsia="Times New Roman"/>
                <w:lang w:eastAsia="hu-HU"/>
              </w:rPr>
            </w:pPr>
            <w:r w:rsidRPr="002E7FD5">
              <w:rPr>
                <w:rFonts w:eastAsia="Times New Roman"/>
                <w:b/>
                <w:bCs/>
                <w:lang w:eastAsia="hu-HU"/>
              </w:rPr>
              <w:t xml:space="preserve">II.2.6) Becsült érték: </w:t>
            </w:r>
          </w:p>
          <w:p w14:paraId="668E55FC" w14:textId="77777777" w:rsidR="00F31610" w:rsidRPr="002E7FD5" w:rsidRDefault="00F31610" w:rsidP="0042537D">
            <w:pPr>
              <w:spacing w:before="120" w:after="120"/>
              <w:jc w:val="left"/>
              <w:rPr>
                <w:rFonts w:eastAsia="Times New Roman"/>
                <w:lang w:eastAsia="hu-HU"/>
              </w:rPr>
            </w:pPr>
            <w:r w:rsidRPr="002E7FD5">
              <w:rPr>
                <w:rFonts w:eastAsia="Times New Roman"/>
                <w:lang w:eastAsia="hu-HU"/>
              </w:rPr>
              <w:t xml:space="preserve">Érték ÁFA nélkül: </w:t>
            </w:r>
            <w:proofErr w:type="gramStart"/>
            <w:r w:rsidRPr="002E7FD5">
              <w:rPr>
                <w:rFonts w:eastAsia="Times New Roman"/>
                <w:lang w:eastAsia="hu-HU"/>
              </w:rPr>
              <w:t>[ ]</w:t>
            </w:r>
            <w:proofErr w:type="gramEnd"/>
            <w:r w:rsidRPr="002E7FD5">
              <w:rPr>
                <w:rFonts w:eastAsia="Times New Roman"/>
                <w:lang w:eastAsia="hu-HU"/>
              </w:rPr>
              <w:t xml:space="preserve"> Pénznem: [ ][ ][ ]</w:t>
            </w:r>
          </w:p>
          <w:p w14:paraId="7D858D25" w14:textId="77777777" w:rsidR="00F31610" w:rsidRPr="002E7FD5" w:rsidRDefault="00F31610" w:rsidP="0042537D">
            <w:pPr>
              <w:spacing w:before="120" w:after="120"/>
              <w:jc w:val="left"/>
              <w:rPr>
                <w:rFonts w:eastAsia="Times New Roman"/>
                <w:lang w:eastAsia="hu-HU"/>
              </w:rPr>
            </w:pPr>
            <w:r w:rsidRPr="002E7FD5">
              <w:rPr>
                <w:rFonts w:eastAsia="Times New Roman"/>
                <w:i/>
                <w:iCs/>
                <w:lang w:eastAsia="hu-HU"/>
              </w:rPr>
              <w:t>(keretmegállapodás vagy dinamikus beszerzési rendszer esetében ennek a résznek a keretmegállapodás vagy dinamikus beszerzési rendszer teljes időtartamára vonatkozó becsült összértéke)</w:t>
            </w:r>
          </w:p>
        </w:tc>
      </w:tr>
      <w:tr w:rsidR="00292440" w:rsidRPr="00292440" w14:paraId="2F976595" w14:textId="77777777" w:rsidTr="00F31610">
        <w:tc>
          <w:tcPr>
            <w:tcW w:w="0" w:type="auto"/>
            <w:gridSpan w:val="2"/>
            <w:hideMark/>
          </w:tcPr>
          <w:p w14:paraId="09005C25" w14:textId="77777777" w:rsidR="00F31610" w:rsidRPr="002E7FD5" w:rsidRDefault="00F31610" w:rsidP="0042537D">
            <w:pPr>
              <w:spacing w:before="120" w:after="120"/>
              <w:jc w:val="left"/>
              <w:rPr>
                <w:rFonts w:eastAsia="Times New Roman"/>
                <w:lang w:eastAsia="hu-HU"/>
              </w:rPr>
            </w:pPr>
            <w:r w:rsidRPr="002E7FD5">
              <w:rPr>
                <w:rFonts w:eastAsia="Times New Roman"/>
                <w:b/>
                <w:bCs/>
                <w:lang w:eastAsia="hu-HU"/>
              </w:rPr>
              <w:t xml:space="preserve">II.2.7) A szerződés, keretmegállapodás vagy dinamikus beszerzési rendszer időtartama </w:t>
            </w:r>
          </w:p>
          <w:p w14:paraId="6DDBA359" w14:textId="50FD0FEA" w:rsidR="00F31610" w:rsidRPr="002E7FD5" w:rsidRDefault="00F31610" w:rsidP="0042537D">
            <w:pPr>
              <w:spacing w:before="120" w:after="120"/>
              <w:jc w:val="left"/>
              <w:rPr>
                <w:rFonts w:eastAsia="Times New Roman"/>
                <w:lang w:eastAsia="hu-HU"/>
              </w:rPr>
            </w:pPr>
            <w:r w:rsidRPr="002E7FD5">
              <w:rPr>
                <w:rFonts w:eastAsia="Times New Roman"/>
                <w:lang w:eastAsia="hu-HU"/>
              </w:rPr>
              <w:t xml:space="preserve">Időtartam hónapban: </w:t>
            </w:r>
            <w:proofErr w:type="gramStart"/>
            <w:r w:rsidRPr="002E7FD5">
              <w:rPr>
                <w:rFonts w:eastAsia="Times New Roman"/>
                <w:lang w:eastAsia="hu-HU"/>
              </w:rPr>
              <w:t>[ ]</w:t>
            </w:r>
            <w:proofErr w:type="gramEnd"/>
            <w:r w:rsidRPr="002E7FD5">
              <w:rPr>
                <w:rFonts w:eastAsia="Times New Roman"/>
                <w:lang w:eastAsia="hu-HU"/>
              </w:rPr>
              <w:t xml:space="preserve"> </w:t>
            </w:r>
            <w:r w:rsidRPr="00901B1D">
              <w:rPr>
                <w:rFonts w:eastAsia="Times New Roman"/>
                <w:lang w:eastAsia="hu-HU"/>
              </w:rPr>
              <w:t xml:space="preserve">vagy napban: </w:t>
            </w:r>
            <w:r w:rsidR="001C5E44">
              <w:rPr>
                <w:rFonts w:eastAsia="Times New Roman"/>
                <w:lang w:eastAsia="hu-HU"/>
              </w:rPr>
              <w:t xml:space="preserve">90 </w:t>
            </w:r>
          </w:p>
          <w:p w14:paraId="1E16781B" w14:textId="77777777" w:rsidR="00F31610" w:rsidRPr="002E7FD5" w:rsidRDefault="00F31610" w:rsidP="0042537D">
            <w:pPr>
              <w:spacing w:before="120" w:after="120"/>
              <w:jc w:val="left"/>
              <w:rPr>
                <w:rFonts w:eastAsia="Times New Roman"/>
                <w:lang w:eastAsia="hu-HU"/>
              </w:rPr>
            </w:pPr>
            <w:r w:rsidRPr="002E7FD5">
              <w:rPr>
                <w:rFonts w:eastAsia="Times New Roman"/>
                <w:lang w:eastAsia="hu-HU"/>
              </w:rPr>
              <w:t xml:space="preserve">vagy </w:t>
            </w:r>
            <w:proofErr w:type="gramStart"/>
            <w:r w:rsidRPr="002E7FD5">
              <w:rPr>
                <w:rFonts w:eastAsia="Times New Roman"/>
                <w:lang w:eastAsia="hu-HU"/>
              </w:rPr>
              <w:t xml:space="preserve">Kezdés: </w:t>
            </w:r>
            <w:r w:rsidR="002463B1" w:rsidRPr="002E7FD5">
              <w:rPr>
                <w:rFonts w:eastAsia="Times New Roman"/>
                <w:lang w:eastAsia="hu-HU"/>
              </w:rPr>
              <w:t xml:space="preserve"> </w:t>
            </w:r>
            <w:r w:rsidRPr="002E7FD5">
              <w:rPr>
                <w:rFonts w:eastAsia="Times New Roman"/>
                <w:lang w:eastAsia="hu-HU"/>
              </w:rPr>
              <w:t>/</w:t>
            </w:r>
            <w:proofErr w:type="gramEnd"/>
            <w:r w:rsidRPr="002E7FD5">
              <w:rPr>
                <w:rFonts w:eastAsia="Times New Roman"/>
                <w:lang w:eastAsia="hu-HU"/>
              </w:rPr>
              <w:t xml:space="preserve"> Befejezés:</w:t>
            </w:r>
          </w:p>
          <w:p w14:paraId="5F0A7780" w14:textId="77777777" w:rsidR="00F31610" w:rsidRPr="002E7FD5" w:rsidRDefault="00F31610" w:rsidP="00326ED2">
            <w:pPr>
              <w:spacing w:before="120" w:after="120"/>
              <w:jc w:val="left"/>
              <w:rPr>
                <w:rFonts w:eastAsia="Times New Roman"/>
                <w:lang w:eastAsia="hu-HU"/>
              </w:rPr>
            </w:pPr>
            <w:r w:rsidRPr="002E7FD5">
              <w:rPr>
                <w:rFonts w:eastAsia="Times New Roman"/>
                <w:lang w:eastAsia="hu-HU"/>
              </w:rPr>
              <w:t xml:space="preserve">A szerződés meghosszabbítható </w:t>
            </w:r>
            <w:r w:rsidRPr="002E7FD5">
              <w:rPr>
                <w:rFonts w:eastAsia="Times New Roman"/>
                <w:lang w:eastAsia="hu-HU"/>
              </w:rPr>
              <w:t xml:space="preserve"> igen </w:t>
            </w:r>
            <w:r w:rsidR="00326ED2" w:rsidRPr="002E7FD5">
              <w:rPr>
                <w:rFonts w:eastAsia="Times New Roman"/>
                <w:lang w:eastAsia="hu-HU"/>
              </w:rPr>
              <w:t>X</w:t>
            </w:r>
            <w:r w:rsidRPr="002E7FD5">
              <w:rPr>
                <w:rFonts w:eastAsia="Times New Roman"/>
                <w:lang w:eastAsia="hu-HU"/>
              </w:rPr>
              <w:t xml:space="preserve"> nem A meghosszabbítás leírása:</w:t>
            </w:r>
          </w:p>
        </w:tc>
      </w:tr>
      <w:tr w:rsidR="00292440" w:rsidRPr="00292440" w14:paraId="408D5254" w14:textId="77777777" w:rsidTr="00F31610">
        <w:tc>
          <w:tcPr>
            <w:tcW w:w="0" w:type="auto"/>
            <w:gridSpan w:val="2"/>
            <w:hideMark/>
          </w:tcPr>
          <w:p w14:paraId="5E20D72D"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lastRenderedPageBreak/>
              <w:t>II.2.8) Az ajánlattételre vagy részvételre felhívandó gazdasági szereplők számának korlátozására vonatkozó információ</w:t>
            </w:r>
            <w:r w:rsidRPr="00292440">
              <w:rPr>
                <w:rFonts w:eastAsia="Times New Roman"/>
                <w:lang w:eastAsia="hu-HU"/>
              </w:rPr>
              <w:t xml:space="preserve"> </w:t>
            </w:r>
            <w:r w:rsidRPr="00292440">
              <w:rPr>
                <w:rFonts w:eastAsia="Times New Roman"/>
                <w:i/>
                <w:iCs/>
                <w:lang w:eastAsia="hu-HU"/>
              </w:rPr>
              <w:t>(nyílt eljárás kivételével)</w:t>
            </w:r>
          </w:p>
          <w:p w14:paraId="2CEBAF38"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A gazdasági szereplők tervezett száma (keretszáma): </w:t>
            </w:r>
            <w:proofErr w:type="gramStart"/>
            <w:r w:rsidRPr="00292440">
              <w:rPr>
                <w:rFonts w:eastAsia="Times New Roman"/>
                <w:lang w:eastAsia="hu-HU"/>
              </w:rPr>
              <w:t>[ ]</w:t>
            </w:r>
            <w:proofErr w:type="gramEnd"/>
          </w:p>
          <w:p w14:paraId="68ADB0F6" w14:textId="77777777" w:rsidR="00F31610" w:rsidRPr="00292440" w:rsidRDefault="00F31610" w:rsidP="0042537D">
            <w:pPr>
              <w:spacing w:before="120" w:after="120"/>
              <w:jc w:val="left"/>
              <w:rPr>
                <w:rFonts w:eastAsia="Times New Roman"/>
                <w:lang w:eastAsia="hu-HU"/>
              </w:rPr>
            </w:pPr>
            <w:r w:rsidRPr="00292440">
              <w:rPr>
                <w:rFonts w:eastAsia="Times New Roman"/>
                <w:i/>
                <w:iCs/>
                <w:lang w:eastAsia="hu-HU"/>
              </w:rPr>
              <w:t>vagy</w:t>
            </w:r>
          </w:p>
          <w:p w14:paraId="6A6AC15B"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Tervezett minimum: </w:t>
            </w:r>
            <w:proofErr w:type="gramStart"/>
            <w:r w:rsidRPr="00292440">
              <w:rPr>
                <w:rFonts w:eastAsia="Times New Roman"/>
                <w:lang w:eastAsia="hu-HU"/>
              </w:rPr>
              <w:t>[ ]</w:t>
            </w:r>
            <w:proofErr w:type="gramEnd"/>
            <w:r w:rsidRPr="00292440">
              <w:rPr>
                <w:rFonts w:eastAsia="Times New Roman"/>
                <w:lang w:eastAsia="hu-HU"/>
              </w:rPr>
              <w:t xml:space="preserve"> / Maximális szám: [ ]</w:t>
            </w:r>
          </w:p>
          <w:p w14:paraId="1C88A0CB"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A jelentkezők számának korlátozására vonatkozó objektív szempontok:</w:t>
            </w:r>
          </w:p>
        </w:tc>
      </w:tr>
      <w:tr w:rsidR="00292440" w:rsidRPr="00292440" w14:paraId="0352E36C" w14:textId="77777777" w:rsidTr="00F31610">
        <w:tc>
          <w:tcPr>
            <w:tcW w:w="0" w:type="auto"/>
            <w:gridSpan w:val="2"/>
            <w:hideMark/>
          </w:tcPr>
          <w:p w14:paraId="089C3E68"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II.2.9) Változatokra (alternatív ajánlatokra) vonatkozó információk</w:t>
            </w:r>
          </w:p>
          <w:p w14:paraId="6D12BFBF" w14:textId="77777777" w:rsidR="00F31610" w:rsidRPr="00292440" w:rsidRDefault="00F31610" w:rsidP="002F5886">
            <w:pPr>
              <w:spacing w:before="120" w:after="120"/>
              <w:jc w:val="left"/>
              <w:rPr>
                <w:rFonts w:eastAsia="Times New Roman"/>
                <w:lang w:eastAsia="hu-HU"/>
              </w:rPr>
            </w:pPr>
            <w:r w:rsidRPr="00292440">
              <w:rPr>
                <w:rFonts w:eastAsia="Times New Roman"/>
                <w:lang w:eastAsia="hu-HU"/>
              </w:rPr>
              <w:t xml:space="preserve">Elfogadhatók változatok (alternatív ajánlatok) </w:t>
            </w:r>
            <w:r w:rsidRPr="00292440">
              <w:rPr>
                <w:rFonts w:eastAsia="Times New Roman"/>
                <w:lang w:eastAsia="hu-HU"/>
              </w:rPr>
              <w:t xml:space="preserve">igen </w:t>
            </w:r>
            <w:r w:rsidR="00326ED2" w:rsidRPr="00292440">
              <w:rPr>
                <w:rFonts w:eastAsia="Times New Roman"/>
                <w:lang w:eastAsia="hu-HU"/>
              </w:rPr>
              <w:t>X</w:t>
            </w:r>
            <w:r w:rsidRPr="00292440">
              <w:rPr>
                <w:rFonts w:eastAsia="Times New Roman"/>
                <w:lang w:eastAsia="hu-HU"/>
              </w:rPr>
              <w:t xml:space="preserve"> nem</w:t>
            </w:r>
          </w:p>
        </w:tc>
      </w:tr>
      <w:tr w:rsidR="00292440" w:rsidRPr="00292440" w14:paraId="098B6D19" w14:textId="77777777" w:rsidTr="00F31610">
        <w:tc>
          <w:tcPr>
            <w:tcW w:w="0" w:type="auto"/>
            <w:gridSpan w:val="2"/>
            <w:hideMark/>
          </w:tcPr>
          <w:p w14:paraId="1DEB6267" w14:textId="77777777" w:rsidR="00F31610" w:rsidRPr="00064C5E" w:rsidRDefault="00F31610" w:rsidP="0042537D">
            <w:pPr>
              <w:spacing w:before="120" w:after="120"/>
              <w:jc w:val="left"/>
              <w:rPr>
                <w:rFonts w:eastAsia="Times New Roman"/>
                <w:lang w:eastAsia="hu-HU"/>
              </w:rPr>
            </w:pPr>
            <w:r w:rsidRPr="005457AD">
              <w:rPr>
                <w:rFonts w:eastAsia="Times New Roman"/>
                <w:b/>
                <w:bCs/>
                <w:lang w:eastAsia="hu-HU"/>
              </w:rPr>
              <w:t>II.2.10) Opciókra vonatkozó információ</w:t>
            </w:r>
          </w:p>
          <w:p w14:paraId="6A2ADDCA" w14:textId="77777777" w:rsidR="004623C8" w:rsidRPr="00DD1413" w:rsidRDefault="00F31610" w:rsidP="00DD1413">
            <w:pPr>
              <w:spacing w:before="120" w:after="120"/>
              <w:jc w:val="left"/>
              <w:rPr>
                <w:rFonts w:eastAsia="Times New Roman"/>
                <w:lang w:eastAsia="hu-HU"/>
              </w:rPr>
            </w:pPr>
            <w:r w:rsidRPr="00064C5E">
              <w:rPr>
                <w:rFonts w:eastAsia="Times New Roman"/>
                <w:lang w:eastAsia="hu-HU"/>
              </w:rPr>
              <w:t xml:space="preserve">Opciók </w:t>
            </w:r>
            <w:r w:rsidR="00DD1413" w:rsidRPr="00064C5E">
              <w:rPr>
                <w:rFonts w:eastAsia="Times New Roman"/>
                <w:lang w:eastAsia="hu-HU"/>
              </w:rPr>
              <w:t></w:t>
            </w:r>
            <w:r w:rsidR="004F0D1E" w:rsidRPr="00064C5E">
              <w:rPr>
                <w:rFonts w:eastAsia="Times New Roman"/>
                <w:lang w:eastAsia="hu-HU"/>
              </w:rPr>
              <w:t xml:space="preserve"> </w:t>
            </w:r>
            <w:r w:rsidRPr="00064C5E">
              <w:rPr>
                <w:rFonts w:eastAsia="Times New Roman"/>
                <w:lang w:eastAsia="hu-HU"/>
              </w:rPr>
              <w:t xml:space="preserve">igen </w:t>
            </w:r>
            <w:r w:rsidR="00DD1413" w:rsidRPr="00292440">
              <w:rPr>
                <w:rFonts w:eastAsia="Times New Roman"/>
                <w:lang w:eastAsia="hu-HU"/>
              </w:rPr>
              <w:t>X</w:t>
            </w:r>
            <w:r w:rsidRPr="00064C5E">
              <w:rPr>
                <w:rFonts w:eastAsia="Times New Roman"/>
                <w:lang w:eastAsia="hu-HU"/>
              </w:rPr>
              <w:t xml:space="preserve"> nem Opciók leírása:</w:t>
            </w:r>
            <w:r w:rsidR="00EE28DE" w:rsidRPr="00064C5E">
              <w:rPr>
                <w:rFonts w:eastAsia="Times New Roman"/>
                <w:lang w:eastAsia="hu-HU"/>
              </w:rPr>
              <w:t xml:space="preserve"> </w:t>
            </w:r>
          </w:p>
        </w:tc>
      </w:tr>
      <w:tr w:rsidR="00292440" w:rsidRPr="00292440" w14:paraId="58AE29E4" w14:textId="77777777" w:rsidTr="00F31610">
        <w:tc>
          <w:tcPr>
            <w:tcW w:w="0" w:type="auto"/>
            <w:gridSpan w:val="2"/>
            <w:hideMark/>
          </w:tcPr>
          <w:p w14:paraId="44E4FBF9"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II.2.11) Információ az elektronikus katalógusokról</w:t>
            </w:r>
          </w:p>
          <w:p w14:paraId="1FA35986"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Az ajánlatokat elektronikus katalógus formájában kell benyújtani, vagy azoknak elektronikus katalógust kell tartalmazniuk</w:t>
            </w:r>
          </w:p>
        </w:tc>
      </w:tr>
      <w:tr w:rsidR="00292440" w:rsidRPr="00292440" w14:paraId="610EC121" w14:textId="77777777" w:rsidTr="00F31610">
        <w:tc>
          <w:tcPr>
            <w:tcW w:w="0" w:type="auto"/>
            <w:gridSpan w:val="2"/>
            <w:hideMark/>
          </w:tcPr>
          <w:p w14:paraId="2C8A0338"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II.2.12) Európai uniós alapokra vonatkozó információk</w:t>
            </w:r>
          </w:p>
          <w:p w14:paraId="45AA4AB1" w14:textId="77777777" w:rsidR="00080C13" w:rsidRPr="00292440" w:rsidRDefault="00F31610" w:rsidP="0042537D">
            <w:pPr>
              <w:spacing w:before="120" w:after="120"/>
              <w:jc w:val="left"/>
              <w:rPr>
                <w:rFonts w:eastAsia="Times New Roman"/>
                <w:lang w:eastAsia="hu-HU"/>
              </w:rPr>
            </w:pPr>
            <w:r w:rsidRPr="00292440">
              <w:rPr>
                <w:rFonts w:eastAsia="Times New Roman"/>
                <w:lang w:eastAsia="hu-HU"/>
              </w:rPr>
              <w:t xml:space="preserve">A közbeszerzés európai uniós alapokból finanszírozott projekttel és/vagy programmal kapcsolatos </w:t>
            </w:r>
          </w:p>
          <w:p w14:paraId="31004FDA" w14:textId="77777777" w:rsidR="00F31610" w:rsidRPr="00292440" w:rsidRDefault="000A2D29" w:rsidP="0042537D">
            <w:pPr>
              <w:spacing w:before="120" w:after="120"/>
              <w:jc w:val="left"/>
              <w:rPr>
                <w:rFonts w:eastAsia="Times New Roman"/>
                <w:lang w:eastAsia="hu-HU"/>
              </w:rPr>
            </w:pPr>
            <w:r w:rsidRPr="00292440">
              <w:rPr>
                <w:rFonts w:eastAsia="Times New Roman"/>
                <w:lang w:eastAsia="hu-HU"/>
              </w:rPr>
              <w:t xml:space="preserve">X </w:t>
            </w:r>
            <w:r w:rsidR="00F31610" w:rsidRPr="00292440">
              <w:rPr>
                <w:rFonts w:eastAsia="Times New Roman"/>
                <w:lang w:eastAsia="hu-HU"/>
              </w:rPr>
              <w:t xml:space="preserve">igen </w:t>
            </w:r>
            <w:r w:rsidRPr="00292440">
              <w:rPr>
                <w:rFonts w:eastAsia="Times New Roman"/>
                <w:lang w:eastAsia="hu-HU"/>
              </w:rPr>
              <w:t>O</w:t>
            </w:r>
            <w:r w:rsidR="00F31610" w:rsidRPr="00292440">
              <w:rPr>
                <w:rFonts w:eastAsia="Times New Roman"/>
                <w:lang w:eastAsia="hu-HU"/>
              </w:rPr>
              <w:t xml:space="preserve"> nem</w:t>
            </w:r>
          </w:p>
          <w:p w14:paraId="74043915" w14:textId="77777777" w:rsidR="00F31610" w:rsidRPr="00292440" w:rsidRDefault="00F31610" w:rsidP="00F31DB3">
            <w:pPr>
              <w:spacing w:before="120" w:after="120"/>
              <w:jc w:val="left"/>
              <w:rPr>
                <w:rFonts w:eastAsia="Times New Roman"/>
                <w:lang w:eastAsia="hu-HU"/>
              </w:rPr>
            </w:pPr>
            <w:r w:rsidRPr="00292440">
              <w:rPr>
                <w:rFonts w:eastAsia="Times New Roman"/>
                <w:lang w:eastAsia="hu-HU"/>
              </w:rPr>
              <w:t>Projekt száma vagy hivatkozási száma:</w:t>
            </w:r>
            <w:r w:rsidR="00080C13" w:rsidRPr="00292440">
              <w:rPr>
                <w:rFonts w:eastAsia="Times New Roman"/>
                <w:lang w:eastAsia="hu-HU"/>
              </w:rPr>
              <w:t xml:space="preserve"> </w:t>
            </w:r>
            <w:r w:rsidR="00342F1A">
              <w:rPr>
                <w:bCs/>
              </w:rPr>
              <w:t>TOP</w:t>
            </w:r>
            <w:r w:rsidR="002B27C8">
              <w:rPr>
                <w:bCs/>
              </w:rPr>
              <w:t xml:space="preserve"> PLUSZ</w:t>
            </w:r>
            <w:r w:rsidR="00342F1A">
              <w:rPr>
                <w:bCs/>
              </w:rPr>
              <w:t>-</w:t>
            </w:r>
            <w:r w:rsidR="002B27C8">
              <w:rPr>
                <w:bCs/>
              </w:rPr>
              <w:t>1.2</w:t>
            </w:r>
            <w:r w:rsidR="000D5BD4">
              <w:rPr>
                <w:bCs/>
              </w:rPr>
              <w:t>.3-</w:t>
            </w:r>
            <w:r w:rsidR="002B27C8">
              <w:rPr>
                <w:bCs/>
              </w:rPr>
              <w:t>21</w:t>
            </w:r>
            <w:r w:rsidR="000D5BD4">
              <w:rPr>
                <w:bCs/>
              </w:rPr>
              <w:t>-</w:t>
            </w:r>
            <w:r w:rsidR="002B27C8">
              <w:rPr>
                <w:bCs/>
              </w:rPr>
              <w:t>CS1-2022-00024</w:t>
            </w:r>
          </w:p>
        </w:tc>
      </w:tr>
      <w:tr w:rsidR="00292440" w:rsidRPr="00292440" w14:paraId="33201A07" w14:textId="77777777" w:rsidTr="00F31610">
        <w:tc>
          <w:tcPr>
            <w:tcW w:w="0" w:type="auto"/>
            <w:gridSpan w:val="2"/>
            <w:hideMark/>
          </w:tcPr>
          <w:p w14:paraId="0E13FB6A" w14:textId="77777777" w:rsidR="00F31610" w:rsidRPr="00292440" w:rsidRDefault="00F31610" w:rsidP="0042537D">
            <w:pPr>
              <w:spacing w:before="120" w:after="120"/>
              <w:jc w:val="left"/>
              <w:rPr>
                <w:rFonts w:eastAsia="Times New Roman"/>
                <w:b/>
                <w:bCs/>
                <w:lang w:eastAsia="hu-HU"/>
              </w:rPr>
            </w:pPr>
            <w:r w:rsidRPr="00292440">
              <w:rPr>
                <w:rFonts w:eastAsia="Times New Roman"/>
                <w:b/>
                <w:bCs/>
                <w:lang w:eastAsia="hu-HU"/>
              </w:rPr>
              <w:t>II.2.13) További információ</w:t>
            </w:r>
          </w:p>
          <w:p w14:paraId="2FA0BE9E" w14:textId="77777777" w:rsidR="00080C13" w:rsidRPr="00246A66" w:rsidRDefault="00080C13" w:rsidP="00080C13">
            <w:pPr>
              <w:spacing w:before="120" w:after="120"/>
              <w:jc w:val="left"/>
              <w:rPr>
                <w:rFonts w:eastAsia="Times New Roman"/>
                <w:bCs/>
                <w:lang w:eastAsia="hu-HU"/>
              </w:rPr>
            </w:pPr>
            <w:r w:rsidRPr="00292440">
              <w:rPr>
                <w:rFonts w:eastAsia="Times New Roman"/>
                <w:bCs/>
                <w:lang w:eastAsia="hu-HU"/>
              </w:rPr>
              <w:t xml:space="preserve">Finanszírozás </w:t>
            </w:r>
            <w:r w:rsidRPr="002B27C8">
              <w:rPr>
                <w:rFonts w:eastAsia="Times New Roman"/>
                <w:bCs/>
                <w:lang w:eastAsia="hu-HU"/>
              </w:rPr>
              <w:t xml:space="preserve">formája: </w:t>
            </w:r>
            <w:r w:rsidR="00DC4CF3" w:rsidRPr="002B27C8">
              <w:rPr>
                <w:rFonts w:eastAsia="Times New Roman"/>
                <w:bCs/>
                <w:lang w:eastAsia="hu-HU"/>
              </w:rPr>
              <w:t>utófinanszírozott</w:t>
            </w:r>
          </w:p>
          <w:p w14:paraId="44BD7436" w14:textId="77777777" w:rsidR="009D3CC7" w:rsidRPr="00292440" w:rsidRDefault="00080C13" w:rsidP="00080C13">
            <w:pPr>
              <w:spacing w:before="120" w:after="120"/>
              <w:jc w:val="left"/>
              <w:rPr>
                <w:rFonts w:eastAsia="Times New Roman"/>
                <w:lang w:eastAsia="hu-HU"/>
              </w:rPr>
            </w:pPr>
            <w:r w:rsidRPr="00246A66">
              <w:rPr>
                <w:rFonts w:eastAsia="Times New Roman"/>
                <w:bCs/>
                <w:lang w:eastAsia="hu-HU"/>
              </w:rPr>
              <w:t>A támogatási intenzitás:</w:t>
            </w:r>
            <w:r w:rsidR="0014614D" w:rsidRPr="00246A66">
              <w:rPr>
                <w:rFonts w:eastAsia="Times New Roman"/>
                <w:bCs/>
                <w:lang w:eastAsia="hu-HU"/>
              </w:rPr>
              <w:t xml:space="preserve"> </w:t>
            </w:r>
            <w:r w:rsidR="00541D2C" w:rsidRPr="00246A66">
              <w:rPr>
                <w:shd w:val="clear" w:color="auto" w:fill="FFFFFF"/>
              </w:rPr>
              <w:t>100</w:t>
            </w:r>
            <w:r w:rsidR="005E6866" w:rsidRPr="00246A66">
              <w:rPr>
                <w:shd w:val="clear" w:color="auto" w:fill="FFFFFF"/>
              </w:rPr>
              <w:t>%-ban Uniós támogatás</w:t>
            </w:r>
          </w:p>
        </w:tc>
      </w:tr>
    </w:tbl>
    <w:p w14:paraId="71935349" w14:textId="77777777" w:rsidR="00342F1A" w:rsidRDefault="00342F1A" w:rsidP="0042537D">
      <w:pPr>
        <w:spacing w:before="120" w:after="120"/>
        <w:jc w:val="left"/>
        <w:rPr>
          <w:rFonts w:eastAsia="Times New Roman"/>
          <w:b/>
          <w:bCs/>
          <w:lang w:eastAsia="hu-HU"/>
        </w:rPr>
      </w:pPr>
    </w:p>
    <w:p w14:paraId="3BEF0211"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III. szakasz: Jogi, gazdasági, pénzügyi és műszaki információk</w:t>
      </w:r>
    </w:p>
    <w:p w14:paraId="5B2F2B67"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III.1) Részvételi feltételek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58"/>
        <w:gridCol w:w="5037"/>
      </w:tblGrid>
      <w:tr w:rsidR="00292440" w:rsidRPr="00292440" w14:paraId="390D4117" w14:textId="77777777" w:rsidTr="00F31610">
        <w:tc>
          <w:tcPr>
            <w:tcW w:w="9795" w:type="dxa"/>
            <w:gridSpan w:val="2"/>
            <w:hideMark/>
          </w:tcPr>
          <w:p w14:paraId="3BA0F778" w14:textId="77777777" w:rsidR="00F31610" w:rsidRPr="003100E6" w:rsidRDefault="00F31610" w:rsidP="0042537D">
            <w:pPr>
              <w:spacing w:before="120" w:after="120"/>
              <w:jc w:val="left"/>
              <w:rPr>
                <w:rFonts w:eastAsia="Times New Roman"/>
                <w:lang w:eastAsia="hu-HU"/>
              </w:rPr>
            </w:pPr>
            <w:r w:rsidRPr="002B27C8">
              <w:rPr>
                <w:rFonts w:eastAsia="Times New Roman"/>
                <w:b/>
                <w:bCs/>
                <w:lang w:eastAsia="hu-HU"/>
              </w:rPr>
              <w:t>III.1.1) Kizáró okok és a szakmai tevékenység végzésére vonatkozó alkalmasság</w:t>
            </w:r>
          </w:p>
          <w:p w14:paraId="29428366" w14:textId="77777777" w:rsidR="00F31610" w:rsidRPr="00292440" w:rsidRDefault="00F31610" w:rsidP="0042537D">
            <w:pPr>
              <w:spacing w:before="120" w:after="120"/>
              <w:jc w:val="left"/>
              <w:rPr>
                <w:rFonts w:eastAsia="Times New Roman"/>
                <w:u w:val="single"/>
                <w:lang w:eastAsia="hu-HU"/>
              </w:rPr>
            </w:pPr>
            <w:r w:rsidRPr="003100E6">
              <w:rPr>
                <w:rFonts w:eastAsia="Times New Roman"/>
                <w:u w:val="single"/>
                <w:lang w:eastAsia="hu-HU"/>
              </w:rPr>
              <w:t>A kizáró okok felsorolása:</w:t>
            </w:r>
          </w:p>
          <w:p w14:paraId="0A513177" w14:textId="77777777" w:rsidR="00B16718" w:rsidRDefault="00B16718" w:rsidP="00B16718">
            <w:pPr>
              <w:spacing w:before="120" w:after="120"/>
              <w:rPr>
                <w:lang w:eastAsia="hu-HU"/>
              </w:rPr>
            </w:pPr>
            <w:r w:rsidRPr="00B16718">
              <w:rPr>
                <w:lang w:eastAsia="hu-HU"/>
              </w:rPr>
              <w:t xml:space="preserve">Az eljárásban nem lehet ajánlattevő, alvállalkozó, és nem vehet részt alkalmasság igazolásában olyan gazdasági szereplő, akivel szemben a Kbt. 62. § (1)-(2) bekezdéseiben foglalt kizáró okok </w:t>
            </w:r>
            <w:proofErr w:type="spellStart"/>
            <w:r w:rsidRPr="00B16718">
              <w:rPr>
                <w:lang w:eastAsia="hu-HU"/>
              </w:rPr>
              <w:t>bármelyike</w:t>
            </w:r>
            <w:proofErr w:type="spellEnd"/>
            <w:r w:rsidRPr="00B16718">
              <w:rPr>
                <w:lang w:eastAsia="hu-HU"/>
              </w:rPr>
              <w:t xml:space="preserve"> fennáll. </w:t>
            </w:r>
          </w:p>
          <w:p w14:paraId="43732446" w14:textId="6E533CD2" w:rsidR="00B16718" w:rsidRDefault="00B16718" w:rsidP="00B16718">
            <w:pPr>
              <w:spacing w:before="120" w:after="120"/>
              <w:rPr>
                <w:u w:val="single"/>
                <w:lang w:eastAsia="hu-HU"/>
              </w:rPr>
            </w:pPr>
            <w:r w:rsidRPr="00B16718">
              <w:rPr>
                <w:lang w:eastAsia="hu-HU"/>
              </w:rPr>
              <w:t>A Kbt. 74. § (1) bekezdése alapján az ajánlatkérő kizárja az eljárásból azt az ajánlattevőt, alvállalkozót vagy az alkalmasság igazolásában részt vevő szervezetet, aki a kizáró okok hatálya alá tartozik; vagy részéről a kizáró ok az eljárás során következett be. Az ajánlatkérő felhívja a figyelmet a Kbt. 64. § (1) és (2) bekezdése szerinti öntisztázás lehetőségére.</w:t>
            </w:r>
            <w:r w:rsidRPr="00B16718">
              <w:rPr>
                <w:u w:val="single"/>
                <w:lang w:eastAsia="hu-HU"/>
              </w:rPr>
              <w:t xml:space="preserve"> </w:t>
            </w:r>
          </w:p>
          <w:p w14:paraId="3E8ACFD0" w14:textId="77777777" w:rsidR="00B16718" w:rsidRDefault="00B16718" w:rsidP="00B16718">
            <w:pPr>
              <w:spacing w:before="120" w:after="120"/>
              <w:rPr>
                <w:u w:val="single"/>
                <w:lang w:eastAsia="hu-HU"/>
              </w:rPr>
            </w:pPr>
          </w:p>
          <w:p w14:paraId="55DE9D8D" w14:textId="77777777" w:rsidR="00B16718" w:rsidRDefault="00B16718" w:rsidP="00B16718">
            <w:pPr>
              <w:spacing w:before="120" w:after="120"/>
              <w:rPr>
                <w:u w:val="single"/>
                <w:lang w:eastAsia="hu-HU"/>
              </w:rPr>
            </w:pPr>
          </w:p>
          <w:p w14:paraId="6C38D604" w14:textId="77777777" w:rsidR="00B16718" w:rsidRDefault="00B16718" w:rsidP="00B16718">
            <w:pPr>
              <w:spacing w:before="120" w:after="120"/>
              <w:rPr>
                <w:u w:val="single"/>
                <w:lang w:eastAsia="hu-HU"/>
              </w:rPr>
            </w:pPr>
          </w:p>
          <w:p w14:paraId="26EF4290" w14:textId="33437922" w:rsidR="00F31610" w:rsidRPr="00292440" w:rsidRDefault="00F31610" w:rsidP="00B16718">
            <w:pPr>
              <w:spacing w:before="120" w:after="120"/>
              <w:rPr>
                <w:rFonts w:eastAsia="Times New Roman"/>
                <w:u w:val="single"/>
                <w:lang w:eastAsia="hu-HU"/>
              </w:rPr>
            </w:pPr>
            <w:r w:rsidRPr="00292440">
              <w:rPr>
                <w:rFonts w:eastAsia="Times New Roman"/>
                <w:u w:val="single"/>
                <w:lang w:eastAsia="hu-HU"/>
              </w:rPr>
              <w:lastRenderedPageBreak/>
              <w:t>Az igazolási módok felsorolása és rövid leírása:</w:t>
            </w:r>
          </w:p>
          <w:p w14:paraId="51540028" w14:textId="255A0118" w:rsidR="00591A8C" w:rsidRDefault="00591A8C" w:rsidP="00591A8C">
            <w:pPr>
              <w:autoSpaceDE w:val="0"/>
              <w:autoSpaceDN w:val="0"/>
              <w:adjustRightInd w:val="0"/>
              <w:rPr>
                <w:lang w:eastAsia="hu-HU"/>
              </w:rPr>
            </w:pPr>
            <w:r w:rsidRPr="00292440">
              <w:rPr>
                <w:lang w:eastAsia="hu-HU"/>
              </w:rPr>
              <w:t>Az ajánlattevőnek – figyelemmel a Kbt. 114/A. §, valamint a 321/2015. (X. 30.) Korm. rendelet (a továbbiakban: Korm. rendelet) 17. §-</w:t>
            </w:r>
            <w:proofErr w:type="spellStart"/>
            <w:r w:rsidRPr="00292440">
              <w:rPr>
                <w:lang w:eastAsia="hu-HU"/>
              </w:rPr>
              <w:t>ának</w:t>
            </w:r>
            <w:proofErr w:type="spellEnd"/>
            <w:r w:rsidRPr="00292440">
              <w:rPr>
                <w:lang w:eastAsia="hu-HU"/>
              </w:rPr>
              <w:t xml:space="preserve"> (1) bekezdésében foglaltakra – az ajánlatban nyilatkoznia kell arról, hogy nem tartozik </w:t>
            </w:r>
            <w:r w:rsidR="00B16718" w:rsidRPr="00B16718">
              <w:rPr>
                <w:lang w:eastAsia="hu-HU"/>
              </w:rPr>
              <w:t>a Kbt. 62. § (1)-(2) bekezdéseinek hatálya alá.</w:t>
            </w:r>
          </w:p>
          <w:p w14:paraId="0790D1A7" w14:textId="77777777" w:rsidR="00B16718" w:rsidRPr="00292440" w:rsidRDefault="00B16718" w:rsidP="00591A8C">
            <w:pPr>
              <w:autoSpaceDE w:val="0"/>
              <w:autoSpaceDN w:val="0"/>
              <w:adjustRightInd w:val="0"/>
              <w:rPr>
                <w:lang w:eastAsia="hu-HU"/>
              </w:rPr>
            </w:pPr>
          </w:p>
          <w:p w14:paraId="1E96D96C" w14:textId="77777777" w:rsidR="00591A8C" w:rsidRDefault="00591A8C" w:rsidP="00591A8C">
            <w:pPr>
              <w:autoSpaceDE w:val="0"/>
              <w:autoSpaceDN w:val="0"/>
              <w:adjustRightInd w:val="0"/>
              <w:rPr>
                <w:lang w:eastAsia="hu-HU"/>
              </w:rPr>
            </w:pPr>
            <w:r w:rsidRPr="00292440">
              <w:rPr>
                <w:lang w:eastAsia="hu-HU"/>
              </w:rPr>
              <w:t xml:space="preserve">Az ajánlattevőnek az ajánlatban a Kbt. 62. § (1) bekezdése k) pontjának </w:t>
            </w:r>
            <w:proofErr w:type="spellStart"/>
            <w:r w:rsidRPr="00292440">
              <w:rPr>
                <w:lang w:eastAsia="hu-HU"/>
              </w:rPr>
              <w:t>kb</w:t>
            </w:r>
            <w:proofErr w:type="spellEnd"/>
            <w:r w:rsidRPr="00292440">
              <w:rPr>
                <w:lang w:eastAsia="hu-HU"/>
              </w:rPr>
              <w:t xml:space="preserve">) alpontja tekintetében nyilatkoznia kell. E körben a pénzmosás és a terrorizmus finanszírozása megelőzéséről és megakadályozásáról szóló 2017. évi LIII. törvény (a továbbiakban: pénzmosásról szóló törvény) 3.§ 38. pont a)-b) vagy d) alpontja szerint definiált </w:t>
            </w:r>
            <w:r w:rsidRPr="00196AA5">
              <w:rPr>
                <w:lang w:eastAsia="hu-HU"/>
              </w:rPr>
              <w:t xml:space="preserve">valamennyi tényleges tulajdonosa személyazonosító adatainak, adóazonosító adatainak, külső nyilvántartás szerinti személy-, illetve adóazonosító adatainak, valamint érdekeltségének a pénzmosásról szóló törvény 3. § 38. pont a)-b) vagy d) alpontja szerinti jellege és mértéke bemutatását tartalmazza; ha a gazdasági szereplőnek nincs a pénzmosásról szóló törvény 3. § 38. pont a)-b) vagy d) alpontja szerinti tényleges tulajdonosa, úgy erre vonatkozó nyilatkozatot szükséges csatolni. Ha a gazdasági szereplőnek nincs a pénzmosásról szóló törvény 3. § 38. pont </w:t>
            </w:r>
            <w:proofErr w:type="gramStart"/>
            <w:r w:rsidRPr="00196AA5">
              <w:rPr>
                <w:lang w:eastAsia="hu-HU"/>
              </w:rPr>
              <w:t>a)-</w:t>
            </w:r>
            <w:proofErr w:type="gramEnd"/>
            <w:r w:rsidRPr="00196AA5">
              <w:rPr>
                <w:lang w:eastAsia="hu-HU"/>
              </w:rPr>
              <w:t>b) vagy d) alpontja szerinti tényleges tulajdonosa, úgy erre vonatkozó nyilatkozatot szükséges benyújtani.</w:t>
            </w:r>
          </w:p>
          <w:p w14:paraId="1C1FC460" w14:textId="77777777" w:rsidR="00591A8C" w:rsidRPr="00292440" w:rsidRDefault="00591A8C" w:rsidP="00591A8C">
            <w:pPr>
              <w:autoSpaceDE w:val="0"/>
              <w:autoSpaceDN w:val="0"/>
              <w:adjustRightInd w:val="0"/>
            </w:pPr>
            <w:r w:rsidRPr="00292440">
              <w:rPr>
                <w:lang w:eastAsia="hu-HU"/>
              </w:rPr>
              <w:t>Az ajánlatkérő elfogadja a kizáró okok igazolására az egységes európai közbeszerzési dokumentumot is, feltéve, hogy az abban foglaltak megfelelnek a valóságnak, és tartalmazzák az ajánlatkérő által az előírt kizáró okok tekintetében megkövetelt információkat. Az egységes európai közbeszerzési dokumentum valóságtartalmáért az ajánlattevő felel. A kizáró okok fenn nem állása igazolásának körében alkalmazandó továbbá a Kbt. 69. §-</w:t>
            </w:r>
            <w:proofErr w:type="spellStart"/>
            <w:r w:rsidRPr="00292440">
              <w:rPr>
                <w:lang w:eastAsia="hu-HU"/>
              </w:rPr>
              <w:t>ának</w:t>
            </w:r>
            <w:proofErr w:type="spellEnd"/>
            <w:r>
              <w:rPr>
                <w:lang w:eastAsia="hu-HU"/>
              </w:rPr>
              <w:t xml:space="preserve"> </w:t>
            </w:r>
            <w:r w:rsidRPr="00292440">
              <w:rPr>
                <w:lang w:eastAsia="hu-HU"/>
              </w:rPr>
              <w:t>(11a) bekezdésében foglaltak. A Kbt. 67. § (4) bekezdése, valamint a Korm. rendelet 17. §-</w:t>
            </w:r>
            <w:proofErr w:type="spellStart"/>
            <w:r w:rsidRPr="00292440">
              <w:rPr>
                <w:lang w:eastAsia="hu-HU"/>
              </w:rPr>
              <w:t>ának</w:t>
            </w:r>
            <w:proofErr w:type="spellEnd"/>
            <w:r w:rsidRPr="00292440">
              <w:rPr>
                <w:lang w:eastAsia="hu-HU"/>
              </w:rPr>
              <w:t xml:space="preserve"> (2) bekezdése alapján minden ajánlattevőnek nyilatkoznia kell az ajánlatában, hogy a szerződés teljesítéséhez nem vesz igénybe a Kbt. 62. § (1)</w:t>
            </w:r>
            <w:r>
              <w:rPr>
                <w:lang w:eastAsia="hu-HU"/>
              </w:rPr>
              <w:t>-(2) bekezdései</w:t>
            </w:r>
            <w:r w:rsidRPr="00292440">
              <w:rPr>
                <w:lang w:eastAsia="hu-HU"/>
              </w:rPr>
              <w:t>nek foglalt kizáró okok hatálya alá eső alvállalkozót, illetve a kapacitásait rendelkezésre bocsátó szervezetet. A nyilatkozatot attól függetlenül be kell nyújtani, hogy az ajánlatkérő az eljárásban nem írta elő a már ismert alvállalkozók megnevezését.</w:t>
            </w:r>
          </w:p>
          <w:p w14:paraId="6B9E5451" w14:textId="77777777" w:rsidR="00F31610" w:rsidRPr="00292440" w:rsidRDefault="00F31610" w:rsidP="00591A8C">
            <w:pPr>
              <w:spacing w:before="120" w:after="120"/>
              <w:rPr>
                <w:rFonts w:eastAsia="Times New Roman"/>
                <w:lang w:eastAsia="hu-HU"/>
              </w:rPr>
            </w:pPr>
            <w:r w:rsidRPr="00292440">
              <w:rPr>
                <w:rFonts w:eastAsia="Times New Roman"/>
                <w:lang w:eastAsia="hu-HU"/>
              </w:rPr>
              <w:t xml:space="preserve">Szakmai tevékenység végzésére vonatkozó alkalmasság előírása [Kbt. 65. § (1) bekezdés </w:t>
            </w:r>
            <w:r w:rsidRPr="00292440">
              <w:rPr>
                <w:rFonts w:eastAsia="Times New Roman"/>
                <w:i/>
                <w:iCs/>
                <w:lang w:eastAsia="hu-HU"/>
              </w:rPr>
              <w:t>c)</w:t>
            </w:r>
            <w:r w:rsidRPr="00292440">
              <w:rPr>
                <w:rFonts w:eastAsia="Times New Roman"/>
                <w:lang w:eastAsia="hu-HU"/>
              </w:rPr>
              <w:t xml:space="preserve"> pont]:</w:t>
            </w:r>
            <w:r w:rsidR="004873C9" w:rsidRPr="00292440">
              <w:rPr>
                <w:rFonts w:eastAsia="Times New Roman"/>
                <w:lang w:eastAsia="hu-HU"/>
              </w:rPr>
              <w:t xml:space="preserve"> </w:t>
            </w:r>
          </w:p>
          <w:p w14:paraId="3FDE0F8F" w14:textId="77777777" w:rsidR="00B16718" w:rsidRDefault="00B16718" w:rsidP="00B16718">
            <w:pPr>
              <w:rPr>
                <w:rFonts w:eastAsia="Times New Roman"/>
                <w:lang w:eastAsia="hu-HU"/>
              </w:rPr>
            </w:pPr>
            <w:r w:rsidRPr="00B16718">
              <w:rPr>
                <w:rFonts w:eastAsia="Times New Roman"/>
                <w:lang w:eastAsia="hu-HU"/>
              </w:rPr>
              <w:t xml:space="preserve">Alkalmatlan az ajánlattevő, amennyiben </w:t>
            </w:r>
          </w:p>
          <w:p w14:paraId="53D7F197" w14:textId="1BD630AE" w:rsidR="00B16718" w:rsidRPr="00B16718" w:rsidRDefault="00B16718" w:rsidP="00B16718">
            <w:pPr>
              <w:rPr>
                <w:rFonts w:eastAsia="Times New Roman"/>
                <w:lang w:eastAsia="hu-HU"/>
              </w:rPr>
            </w:pPr>
            <w:r w:rsidRPr="00B16718">
              <w:rPr>
                <w:rFonts w:eastAsia="Times New Roman"/>
                <w:lang w:eastAsia="hu-HU"/>
              </w:rPr>
              <w:t>(i</w:t>
            </w:r>
            <w:r>
              <w:rPr>
                <w:rFonts w:eastAsia="Times New Roman"/>
                <w:lang w:eastAsia="hu-HU"/>
              </w:rPr>
              <w:t xml:space="preserve">) </w:t>
            </w:r>
            <w:r w:rsidRPr="00B16718">
              <w:rPr>
                <w:rFonts w:eastAsia="Times New Roman"/>
                <w:lang w:eastAsia="hu-HU"/>
              </w:rPr>
              <w:t xml:space="preserve">az ajánlatban megjelölt, építőipari kivitelezési tevékenységet végző és Magyarországon letelepedett gazdasági szereplő nem szerepel az </w:t>
            </w:r>
            <w:proofErr w:type="spellStart"/>
            <w:r w:rsidRPr="00B16718">
              <w:rPr>
                <w:rFonts w:eastAsia="Times New Roman"/>
                <w:lang w:eastAsia="hu-HU"/>
              </w:rPr>
              <w:t>Étv</w:t>
            </w:r>
            <w:proofErr w:type="spellEnd"/>
            <w:r w:rsidRPr="00B16718">
              <w:rPr>
                <w:rFonts w:eastAsia="Times New Roman"/>
                <w:lang w:eastAsia="hu-HU"/>
              </w:rPr>
              <w:t xml:space="preserve">. 39. § (3) bekezdése szerinti nyilvántartásban, illetve </w:t>
            </w:r>
          </w:p>
          <w:p w14:paraId="06EDBEE2" w14:textId="2FEDC9E8" w:rsidR="005C074A" w:rsidRPr="00B16718" w:rsidRDefault="00B16718" w:rsidP="00B16718">
            <w:pPr>
              <w:rPr>
                <w:lang w:eastAsia="hu-HU"/>
              </w:rPr>
            </w:pPr>
            <w:r w:rsidRPr="00B16718">
              <w:rPr>
                <w:lang w:eastAsia="hu-HU"/>
              </w:rPr>
              <w:t>(ii) az ajánlatban megjelölt, építőipari kivitelezési tevékenységet végző és nem Magyarországon letelepedett gazdasági szereplő nem szerepel a letelepedése szerinti ország nyilvántartásában, vagy ha nem rendelkezik a letelepedése szerinti országban előírt engedéllyel, jogosítvánnyal vagy szervezeti, kamarai tagsággal.</w:t>
            </w:r>
          </w:p>
          <w:p w14:paraId="69C09819"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Szakmai tevékenység végzésére vonatkozó alkalmasság igazolása:</w:t>
            </w:r>
            <w:r w:rsidR="004873C9" w:rsidRPr="00292440">
              <w:rPr>
                <w:rFonts w:eastAsia="Times New Roman"/>
                <w:lang w:eastAsia="hu-HU"/>
              </w:rPr>
              <w:t xml:space="preserve"> </w:t>
            </w:r>
          </w:p>
          <w:p w14:paraId="3E727E1C" w14:textId="2E1C127B" w:rsidR="005C074A" w:rsidRDefault="00B16718" w:rsidP="00B16718">
            <w:pPr>
              <w:ind w:right="127"/>
            </w:pPr>
            <w:r w:rsidRPr="00B16718">
              <w:t>Ajánlatkérő jelen eljárás tekintetében alkalmazza a Kbt. 114/A. § (1) bekezdést, amely értelmében előírja, hogy a felhívásban és a közbeszerzési dokumentumokban meghatározott alkalmassági követelmények alátámasztásául szolgáló igazolásokat az ajánlattevőknek az ajánlatukban kell benyújtaniuk. Ajánlatkérő a 114/A. § (1) bekezdése értemében a 114/A. § (2)-(6) bekezdés rendelkezéseit alkalmazza, a 67. § (1) bekezdés, a 69. § (2)-(9) bekezdés, valamint a 114. § (2) bekezdés rendelkezéseit Ajánlatkérő nem alkalmazza. Az ajánlattevőnek az ajánlata benyújtásakor 321/2015. (X.30.) Korm.rendelet III. és IV. Fejezeteinek megfelelően, az alábbiak szerint kell igazolnia, hogy megfelel az ajánlatkérő által meghatározott alkalmassági követelményeknek: A Magyarországon letelepedett gazdasági szereplő esetén a nyilvántartásban szereplés tényét ajánlatkérő ellenőrzi; nem Magyarországon letelepedett gazdasági szereplő esetén a letelepedés szerinti ország nyilvántartásában való szereplésre vonatkozó igazolást, vagy a letelepedés szerinti országban előírt engedéllyel, jogosítvánnyal vagy szervezeti, kamarai tagsággal való rendelkezésre vonatkozó igazolást kell benyújtani.</w:t>
            </w:r>
          </w:p>
          <w:p w14:paraId="51BAAAED" w14:textId="77777777" w:rsidR="00B16718" w:rsidRDefault="00B16718" w:rsidP="00B16718">
            <w:pPr>
              <w:ind w:right="127"/>
            </w:pPr>
          </w:p>
          <w:p w14:paraId="7AD5C987" w14:textId="77777777" w:rsidR="00B16718" w:rsidRPr="00292440" w:rsidRDefault="00B16718" w:rsidP="00B16718">
            <w:pPr>
              <w:ind w:right="127"/>
            </w:pPr>
          </w:p>
          <w:p w14:paraId="495CCD5D" w14:textId="77777777" w:rsidR="005C074A" w:rsidRPr="00292440" w:rsidRDefault="005C074A" w:rsidP="007336FC">
            <w:pPr>
              <w:ind w:right="127"/>
            </w:pPr>
            <w:r w:rsidRPr="00292440">
              <w:lastRenderedPageBreak/>
              <w:t>Továbbá felhívjuk a figyelmet a 321/2015. (X.30.) Korm. rendelet 24. § (1) bekezdésére is.</w:t>
            </w:r>
          </w:p>
          <w:p w14:paraId="083F56C9" w14:textId="77777777" w:rsidR="005C074A" w:rsidRPr="00292440" w:rsidRDefault="005C074A" w:rsidP="007336FC">
            <w:pPr>
              <w:ind w:right="127"/>
            </w:pPr>
            <w:r w:rsidRPr="00292440">
              <w:t>Az alkalmasság igazolása vonatkozásában alkalmazandóak továbbá a Kbt. 65. §-</w:t>
            </w:r>
            <w:proofErr w:type="spellStart"/>
            <w:r w:rsidRPr="00292440">
              <w:t>ának</w:t>
            </w:r>
            <w:proofErr w:type="spellEnd"/>
            <w:r w:rsidRPr="00292440">
              <w:t xml:space="preserve"> (6)-(7</w:t>
            </w:r>
            <w:proofErr w:type="gramStart"/>
            <w:r w:rsidRPr="00292440">
              <w:t>),(</w:t>
            </w:r>
            <w:proofErr w:type="gramEnd"/>
            <w:r w:rsidRPr="00292440">
              <w:t>9) és (11)-(12) bekezdéseiben, a Kbt. 69. § (11a) bekezdésében, valamint a Kbt. 140. §-</w:t>
            </w:r>
            <w:proofErr w:type="spellStart"/>
            <w:r w:rsidRPr="00292440">
              <w:t>ának</w:t>
            </w:r>
            <w:proofErr w:type="spellEnd"/>
            <w:r w:rsidRPr="00292440">
              <w:t xml:space="preserve"> (9) bekezdésében foglaltak.</w:t>
            </w:r>
          </w:p>
          <w:p w14:paraId="00F10303" w14:textId="77777777" w:rsidR="005C074A" w:rsidRPr="00292440" w:rsidRDefault="005C074A" w:rsidP="005C074A">
            <w:pPr>
              <w:spacing w:before="120" w:after="120"/>
              <w:jc w:val="left"/>
              <w:rPr>
                <w:rFonts w:eastAsia="Times New Roman"/>
                <w:lang w:eastAsia="hu-HU"/>
              </w:rPr>
            </w:pPr>
            <w:r w:rsidRPr="00292440">
              <w:t>Ha az előírt alkalmassági követelményeknek az ajánlattevő más szervezet kapacitására támaszkodva felel meg, e szervezetnek - az általa igazolt alkalmassági követelmények tekintetében - az ajánlattevő tekintetében előírt igazolási módokkal azonos módon kell igazolnia az adott alkalmassági feltételnek történő megfelelést [Kbt. 67. § (3) bekezdés].</w:t>
            </w:r>
          </w:p>
        </w:tc>
      </w:tr>
      <w:tr w:rsidR="00292440" w:rsidRPr="00292440" w14:paraId="6ACA6D0B" w14:textId="77777777" w:rsidTr="00F31610">
        <w:tc>
          <w:tcPr>
            <w:tcW w:w="9795" w:type="dxa"/>
            <w:gridSpan w:val="2"/>
            <w:hideMark/>
          </w:tcPr>
          <w:p w14:paraId="4C86CF45"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lastRenderedPageBreak/>
              <w:t>III.1.2) Gazdasági és pénzügyi alkalmasság</w:t>
            </w:r>
          </w:p>
        </w:tc>
      </w:tr>
      <w:tr w:rsidR="00E969FD" w:rsidRPr="00292440" w14:paraId="54C4A7F1" w14:textId="77777777" w:rsidTr="0023729B">
        <w:tc>
          <w:tcPr>
            <w:tcW w:w="9795" w:type="dxa"/>
            <w:gridSpan w:val="2"/>
          </w:tcPr>
          <w:p w14:paraId="18F38683" w14:textId="77777777" w:rsidR="003A1F7B" w:rsidRDefault="003A1F7B" w:rsidP="003A1F7B">
            <w:pPr>
              <w:ind w:right="79"/>
            </w:pPr>
            <w:r w:rsidRPr="00292440">
              <w:rPr>
                <w:rFonts w:eastAsia="Times New Roman"/>
                <w:bCs/>
                <w:lang w:eastAsia="hu-HU"/>
              </w:rPr>
              <w:t>Az A</w:t>
            </w:r>
            <w:r w:rsidRPr="00292440">
              <w:rPr>
                <w:bCs/>
              </w:rPr>
              <w:t>jánlatkérő jelen</w:t>
            </w:r>
            <w:r w:rsidRPr="00292440">
              <w:t xml:space="preserve"> eljárás tekintetében alkalmazza a Kbt. 114/A. § (1) bekezdést, amely értelmében előírja, hogy a felhívásban és a közbeszerzési dokumentumokban meghatározott alkalmassági követelmények alátámasztásául szolgáló igazolásokat az ajánlattevőknek az ajánlatukban kell benyújtaniuk. Ajánlatkérő a 114/A. § (1) bekezdése értemében a 114/A. § (2)-(6) bekezdés rendelkezéseit alkalmazza, a 67. § (1) bekezdés, a 69. § (2)-(9) bekezdés, valamint a 114. § (2) bekezdés rendelkezéseit Ajánlatkérő nem alkalmazza.</w:t>
            </w:r>
          </w:p>
          <w:p w14:paraId="4024DB5E" w14:textId="77777777" w:rsidR="003A1F7B" w:rsidRDefault="003A1F7B" w:rsidP="003A1F7B">
            <w:pPr>
              <w:ind w:right="79"/>
            </w:pPr>
          </w:p>
          <w:p w14:paraId="66041E13" w14:textId="4C009F1D" w:rsidR="003A1F7B" w:rsidRPr="00B16718" w:rsidRDefault="003A1F7B" w:rsidP="003A1F7B">
            <w:pPr>
              <w:widowControl w:val="0"/>
              <w:autoSpaceDE w:val="0"/>
              <w:autoSpaceDN w:val="0"/>
              <w:adjustRightInd w:val="0"/>
              <w:ind w:right="150"/>
              <w:rPr>
                <w:rFonts w:eastAsia="Times New Roman"/>
                <w:lang w:eastAsia="hu-HU"/>
              </w:rPr>
            </w:pPr>
            <w:r w:rsidRPr="00B16718">
              <w:rPr>
                <w:rFonts w:eastAsia="Times New Roman"/>
                <w:b/>
                <w:bCs/>
                <w:lang w:eastAsia="hu-HU"/>
              </w:rPr>
              <w:t xml:space="preserve">P.1. </w:t>
            </w:r>
            <w:r w:rsidRPr="00B16718">
              <w:rPr>
                <w:rFonts w:eastAsia="Times New Roman"/>
                <w:lang w:eastAsia="hu-HU"/>
              </w:rPr>
              <w:t>Az ajánlattevőnek számlavezető pénzügyi intézményétől származó nyilatkozatot kell benyújtania a 321/2015. (X.30.) Kormányrendelet 19. § (1) bekezdés a) pontja alapján valamennyi (ideértve a vizsgált időszakban megszűnt pénzforgalmi számlákat is) pénzforgalmi számlájáról az alábbi tartalommal attól függően, hogy az ajánlattevő mikor jött létre, illetve mikor kezdte meg tevékenységét, amennyiben ezek az adatok rendelkezésre állnak: a pénzforgalmi számla (számlák) megnyitásának időpontja(i), a pénzforgalmi számláján (számláin) a jelen eljárást megindító felhívás feladásának napját megelőző 24 hónapban előfordult-e a pénzforgalmi szolgáltatás nyújtásáról szóló 2009. évi LXXXV. törvény 2. § 25. pontja szerint definiált, 15 naptári napot meghaladó időtartamú sorba állítás. Ajánlattevőnek emellett nyilatkoznia kell arról, hogy az érintett időszakban valamennyi (ideértve a vizsgált időszakban megszűnt pénzforgalmi számlákat is) pénzforgalmi számlájára vonatkozóan csatolásra kerültek a banki nyilatkozatok. A Kbt. 65. § (7) bekezdése szerint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ezen szervezet erőforrására is támaszkodik.</w:t>
            </w:r>
          </w:p>
          <w:p w14:paraId="4702AE19" w14:textId="77777777" w:rsidR="003A1F7B" w:rsidRPr="00B16718" w:rsidRDefault="003A1F7B" w:rsidP="003A1F7B">
            <w:pPr>
              <w:widowControl w:val="0"/>
              <w:autoSpaceDE w:val="0"/>
              <w:autoSpaceDN w:val="0"/>
              <w:adjustRightInd w:val="0"/>
              <w:ind w:left="130" w:right="150"/>
              <w:rPr>
                <w:rFonts w:eastAsia="Times New Roman"/>
                <w:lang w:eastAsia="hu-HU"/>
              </w:rPr>
            </w:pPr>
          </w:p>
          <w:p w14:paraId="4CDDBDD6" w14:textId="12F1D67E" w:rsidR="003A1F7B" w:rsidRPr="00B16718" w:rsidRDefault="003A1F7B" w:rsidP="003A1F7B">
            <w:pPr>
              <w:widowControl w:val="0"/>
              <w:autoSpaceDE w:val="0"/>
              <w:autoSpaceDN w:val="0"/>
              <w:adjustRightInd w:val="0"/>
              <w:ind w:right="150"/>
              <w:rPr>
                <w:rFonts w:eastAsia="Times New Roman"/>
                <w:lang w:eastAsia="hu-HU"/>
              </w:rPr>
            </w:pPr>
            <w:r w:rsidRPr="00B16718">
              <w:rPr>
                <w:rFonts w:eastAsia="Times New Roman"/>
                <w:b/>
                <w:bCs/>
                <w:lang w:eastAsia="hu-HU"/>
              </w:rPr>
              <w:t xml:space="preserve">P.2. </w:t>
            </w:r>
            <w:r w:rsidRPr="00B16718">
              <w:rPr>
                <w:rFonts w:eastAsia="Times New Roman"/>
                <w:lang w:eastAsia="hu-HU"/>
              </w:rPr>
              <w:t xml:space="preserve">Az ajánlattevőnek az eljárást megindító felhívás feladásának időpontját megelőző három lezárt üzleti év tekintetében, számviteli jogszabályok szerinti beszámolóját kell benyújtania a kiegészítő melléklet nélkül a 321/2015. (X.30.) Kormányrendelet 19. § (1) bekezdés b) pontja alapján. Amennyiben az ajánlatkérő által kért beszámoló a céginformációs szolgálat honlapján megismerhető, a beszámoló adatait az ajánlatkérő ellenőrzi, a céginformációs szolgálat honlapján megtalálható beszámoló csatolása az ajánlatban nem szükséges. Ha az ajánlattevő az eljárást megindító felhívás feladásának időpontját megelőző három lezárt pénzügyi évére vonatkozó, saját vagy jogelődje számviteli jogszabályok szerinti beszámolójával azért nem rendelkezik az ajánlatkérő által előírt teljes időszakban, mert az időszak kezdete után kezdte meg működését, a 321/2015. (X.30.) Kormányrendelet 19. § (2) bekezdése alapján akkor is alkalmas, ha működésének ideje alatt a közbeszerzés tárgyából (vízépítésből) származó, általános forgalmi adó nélkül számított árbevétele eléri vagy meghaladja a 200 millió Ft értéket. Ebben az esetben az alkalmasság az árbevételről szóló nyilatkozattal igazolható. A 321/2015. (X.30.) Kormányrendelet 19. § (3) bekezdése alapján amennyiben az ajánlattevő a 321/2015. (X.30.) Kormányrendelet 19. § (1) bekezdés b) pontja szerinti irattal azért nem rendelkezik, mert olyan jogi formában működik, amely tekintetében a beszámoló benyújtása nem lehetséges, az e pontokkal kapcsolatban előírt alkalmassági követelmény és igazolási mód helyett bármely, az ajánlatkérő által megfelelőnek tekintett egyéb nyilatkozattal vagy </w:t>
            </w:r>
            <w:r w:rsidRPr="00B16718">
              <w:rPr>
                <w:rFonts w:eastAsia="Times New Roman"/>
                <w:lang w:eastAsia="hu-HU"/>
              </w:rPr>
              <w:lastRenderedPageBreak/>
              <w:t>dokumentummal igazolhatja pénzügyi és gazdasági alkalmasságát. Az érintett ajánlattevő kiegészítő tájékoztatás kérése során köteles alátámasztani, hogy olyan jogi formában működik, amely tekintetében a beszámoló benyújtása nem lehetséges, és tájékoztatást kérni az e pontokkal kapcsolatban előírt alkalmassági követelmény és igazolási mód helyett az alkalmasság igazolásának ajánlatkérő által elfogadott módjáról.</w:t>
            </w:r>
          </w:p>
          <w:p w14:paraId="187C72F0" w14:textId="77777777" w:rsidR="003A1F7B" w:rsidRPr="00B16718" w:rsidRDefault="003A1F7B" w:rsidP="003A1F7B">
            <w:pPr>
              <w:spacing w:before="120" w:after="120"/>
              <w:ind w:right="202"/>
              <w:rPr>
                <w:rFonts w:eastAsia="Times New Roman"/>
                <w:b/>
                <w:bCs/>
                <w:lang w:eastAsia="hu-HU"/>
              </w:rPr>
            </w:pPr>
          </w:p>
          <w:p w14:paraId="3A25BCB1" w14:textId="4DF05868" w:rsidR="00E969FD" w:rsidRPr="00292440" w:rsidRDefault="003A1F7B" w:rsidP="003A1F7B">
            <w:pPr>
              <w:spacing w:before="120" w:after="120"/>
              <w:ind w:right="202"/>
              <w:rPr>
                <w:rFonts w:eastAsia="Times New Roman"/>
                <w:lang w:eastAsia="hu-HU"/>
              </w:rPr>
            </w:pPr>
            <w:r w:rsidRPr="00B16718">
              <w:rPr>
                <w:rFonts w:eastAsia="Times New Roman"/>
                <w:b/>
                <w:bCs/>
                <w:lang w:eastAsia="hu-HU"/>
              </w:rPr>
              <w:t xml:space="preserve">P.3. </w:t>
            </w:r>
            <w:r w:rsidRPr="00B16718">
              <w:rPr>
                <w:rFonts w:eastAsia="Times New Roman"/>
                <w:lang w:eastAsia="hu-HU"/>
              </w:rPr>
              <w:t xml:space="preserve">321/2015. (X.30.) Korm. rendelet 19. § (1) bekezdés c) pontja alapján az Ajánlattevő (közös ajánlattétel esetén bármelyik közös ajánlattevő) nyilatkozata az eljárást megindító felhívás feladásának napját megelőző három mérlegfordulónappal lezárt üzleti évre vonatkozó a közbeszerzés tárgyából származó – általános forgalmi adó nélkül számított– </w:t>
            </w:r>
            <w:proofErr w:type="spellStart"/>
            <w:r w:rsidRPr="00B16718">
              <w:rPr>
                <w:rFonts w:eastAsia="Times New Roman"/>
                <w:lang w:eastAsia="hu-HU"/>
              </w:rPr>
              <w:t>árbevételéről</w:t>
            </w:r>
            <w:proofErr w:type="spellEnd"/>
            <w:r w:rsidRPr="00B16718">
              <w:rPr>
                <w:rFonts w:eastAsia="Times New Roman"/>
                <w:lang w:eastAsia="hu-HU"/>
              </w:rPr>
              <w:t xml:space="preserve"> szóló nyilatkozatot, attól függően, hogy az ajánlattevő mikor jött létre, illetve mikor kezdte meg tevékenységét, ha ezek az adatok rendelkezésre állnak. Amennyiben az ajánlattevő nem rendelkezik a felhívás feladásának napját megelőző utolsó három mérlegfordulónappal lezárt teljes üzleti év </w:t>
            </w:r>
            <w:proofErr w:type="spellStart"/>
            <w:r w:rsidRPr="00B16718">
              <w:rPr>
                <w:rFonts w:eastAsia="Times New Roman"/>
                <w:lang w:eastAsia="hu-HU"/>
              </w:rPr>
              <w:t>árbevételi</w:t>
            </w:r>
            <w:proofErr w:type="spellEnd"/>
            <w:r w:rsidRPr="00B16718">
              <w:rPr>
                <w:rFonts w:eastAsia="Times New Roman"/>
                <w:lang w:eastAsia="hu-HU"/>
              </w:rPr>
              <w:t xml:space="preserve"> adataival, úgy a tevékenysége megkezdése óta eltelt időszak teljes és közbeszerzés tárgya szerinti nettó árbevételének kell elérnie az előírt összeget (a nem teljes üzleti évet egy évnek tekintve). Ha az ajánlattevő a fentiek szerinti irattal azért nem rendelkezik, mert olyan jogi formában működik, amely tekintetében a beszámoló, illetve az árbevételről szóló nyilatkozat benyújtása nem lehetséges, az e pontokkal kapcsolatban</w:t>
            </w:r>
          </w:p>
        </w:tc>
      </w:tr>
      <w:tr w:rsidR="00E969FD" w:rsidRPr="00292440" w14:paraId="69151975" w14:textId="77777777" w:rsidTr="0054365F">
        <w:tc>
          <w:tcPr>
            <w:tcW w:w="9795" w:type="dxa"/>
            <w:gridSpan w:val="2"/>
          </w:tcPr>
          <w:p w14:paraId="33C2794C" w14:textId="77777777" w:rsidR="00E969FD" w:rsidRPr="00901B1D" w:rsidRDefault="00E969FD" w:rsidP="00E969FD">
            <w:pPr>
              <w:spacing w:before="120" w:after="120"/>
              <w:jc w:val="left"/>
              <w:rPr>
                <w:rFonts w:eastAsia="Times New Roman"/>
                <w:b/>
                <w:bCs/>
                <w:lang w:eastAsia="hu-HU"/>
              </w:rPr>
            </w:pPr>
            <w:r w:rsidRPr="00901B1D">
              <w:rPr>
                <w:rFonts w:eastAsia="Times New Roman"/>
                <w:b/>
                <w:bCs/>
                <w:lang w:eastAsia="hu-HU"/>
              </w:rPr>
              <w:lastRenderedPageBreak/>
              <w:t>Alkalmassági minimumkövetelmény(</w:t>
            </w:r>
            <w:proofErr w:type="spellStart"/>
            <w:r w:rsidRPr="00901B1D">
              <w:rPr>
                <w:rFonts w:eastAsia="Times New Roman"/>
                <w:b/>
                <w:bCs/>
                <w:lang w:eastAsia="hu-HU"/>
              </w:rPr>
              <w:t>ek</w:t>
            </w:r>
            <w:proofErr w:type="spellEnd"/>
            <w:r w:rsidRPr="00901B1D">
              <w:rPr>
                <w:rFonts w:eastAsia="Times New Roman"/>
                <w:b/>
                <w:bCs/>
                <w:lang w:eastAsia="hu-HU"/>
              </w:rPr>
              <w:t xml:space="preserve">): </w:t>
            </w:r>
          </w:p>
          <w:p w14:paraId="4762C8E9" w14:textId="77777777" w:rsidR="00E969FD" w:rsidRDefault="00E969FD" w:rsidP="00E969FD">
            <w:pPr>
              <w:widowControl w:val="0"/>
              <w:autoSpaceDE w:val="0"/>
              <w:autoSpaceDN w:val="0"/>
              <w:adjustRightInd w:val="0"/>
              <w:ind w:left="130" w:right="150"/>
              <w:rPr>
                <w:rFonts w:ascii="Helvetica" w:hAnsi="Helvetica" w:cs="Helvetica"/>
                <w:color w:val="336699"/>
                <w:sz w:val="20"/>
                <w:szCs w:val="20"/>
                <w:shd w:val="clear" w:color="auto" w:fill="FFFFFF"/>
              </w:rPr>
            </w:pPr>
          </w:p>
          <w:p w14:paraId="7227257B" w14:textId="55659DBE" w:rsidR="00E969FD" w:rsidRPr="00B16718" w:rsidRDefault="00E969FD" w:rsidP="003A1F7B">
            <w:pPr>
              <w:widowControl w:val="0"/>
              <w:autoSpaceDE w:val="0"/>
              <w:autoSpaceDN w:val="0"/>
              <w:adjustRightInd w:val="0"/>
              <w:ind w:right="150"/>
              <w:rPr>
                <w:rFonts w:eastAsia="Times New Roman"/>
                <w:lang w:eastAsia="hu-HU"/>
              </w:rPr>
            </w:pPr>
            <w:r w:rsidRPr="00B16718">
              <w:rPr>
                <w:rFonts w:eastAsia="Times New Roman"/>
                <w:b/>
                <w:bCs/>
                <w:lang w:eastAsia="hu-HU"/>
              </w:rPr>
              <w:t>P</w:t>
            </w:r>
            <w:r w:rsidR="003A1F7B" w:rsidRPr="00B16718">
              <w:rPr>
                <w:rFonts w:eastAsia="Times New Roman"/>
                <w:b/>
                <w:bCs/>
                <w:lang w:eastAsia="hu-HU"/>
              </w:rPr>
              <w:t>.</w:t>
            </w:r>
            <w:r w:rsidRPr="00B16718">
              <w:rPr>
                <w:rFonts w:eastAsia="Times New Roman"/>
                <w:b/>
                <w:bCs/>
                <w:lang w:eastAsia="hu-HU"/>
              </w:rPr>
              <w:t>1.</w:t>
            </w:r>
            <w:r w:rsidRPr="00B16718">
              <w:rPr>
                <w:rFonts w:eastAsia="Times New Roman"/>
                <w:lang w:eastAsia="hu-HU"/>
              </w:rPr>
              <w:t xml:space="preserve"> Alkalmatlan ajánlattevő, ha bármely pénzforgalmi számlájára szóló, számlavezető pénzügyi intézményétől származó nyilatkozata alapján megállapítható, hogy az eljárást megindító felhívás feladásának napjától visszafelé számított </w:t>
            </w:r>
            <w:r w:rsidR="003A1F7B" w:rsidRPr="00B16718">
              <w:rPr>
                <w:rFonts w:eastAsia="Times New Roman"/>
                <w:lang w:eastAsia="hu-HU"/>
              </w:rPr>
              <w:t xml:space="preserve">2 évben (azaz </w:t>
            </w:r>
            <w:r w:rsidRPr="00B16718">
              <w:rPr>
                <w:rFonts w:eastAsia="Times New Roman"/>
                <w:lang w:eastAsia="hu-HU"/>
              </w:rPr>
              <w:t>24 hónapban</w:t>
            </w:r>
            <w:r w:rsidR="003A1F7B" w:rsidRPr="00B16718">
              <w:rPr>
                <w:rFonts w:eastAsia="Times New Roman"/>
                <w:lang w:eastAsia="hu-HU"/>
              </w:rPr>
              <w:t>)</w:t>
            </w:r>
            <w:r w:rsidRPr="00B16718">
              <w:rPr>
                <w:rFonts w:eastAsia="Times New Roman"/>
                <w:lang w:eastAsia="hu-HU"/>
              </w:rPr>
              <w:t>, a pénzforgalmi szolgáltatás nyújtásáról szóló 2009. évi LXXXV. törvény 2. § 25. pontja szerinti 15 napot meghaladó sorban állása volt.</w:t>
            </w:r>
          </w:p>
          <w:p w14:paraId="62D5C536" w14:textId="77777777" w:rsidR="00E969FD" w:rsidRPr="00B16718" w:rsidRDefault="00E969FD" w:rsidP="00E969FD">
            <w:pPr>
              <w:widowControl w:val="0"/>
              <w:autoSpaceDE w:val="0"/>
              <w:autoSpaceDN w:val="0"/>
              <w:adjustRightInd w:val="0"/>
              <w:ind w:left="130" w:right="150"/>
              <w:rPr>
                <w:rFonts w:eastAsia="Times New Roman"/>
                <w:lang w:eastAsia="hu-HU"/>
              </w:rPr>
            </w:pPr>
          </w:p>
          <w:p w14:paraId="3DFB8741" w14:textId="6A0EED59" w:rsidR="00E969FD" w:rsidRPr="003A1F7B" w:rsidRDefault="00E969FD" w:rsidP="003A1F7B">
            <w:pPr>
              <w:widowControl w:val="0"/>
              <w:autoSpaceDE w:val="0"/>
              <w:autoSpaceDN w:val="0"/>
              <w:adjustRightInd w:val="0"/>
              <w:ind w:right="150"/>
              <w:rPr>
                <w:rFonts w:eastAsia="Times New Roman"/>
                <w:lang w:eastAsia="hu-HU"/>
              </w:rPr>
            </w:pPr>
            <w:r w:rsidRPr="00B16718">
              <w:rPr>
                <w:rFonts w:eastAsia="Times New Roman"/>
                <w:b/>
                <w:bCs/>
                <w:lang w:eastAsia="hu-HU"/>
              </w:rPr>
              <w:t>P</w:t>
            </w:r>
            <w:r w:rsidR="003A1F7B" w:rsidRPr="00B16718">
              <w:rPr>
                <w:rFonts w:eastAsia="Times New Roman"/>
                <w:b/>
                <w:bCs/>
                <w:lang w:eastAsia="hu-HU"/>
              </w:rPr>
              <w:t>.</w:t>
            </w:r>
            <w:r w:rsidRPr="00B16718">
              <w:rPr>
                <w:rFonts w:eastAsia="Times New Roman"/>
                <w:b/>
                <w:bCs/>
                <w:lang w:eastAsia="hu-HU"/>
              </w:rPr>
              <w:t>2.</w:t>
            </w:r>
            <w:r w:rsidRPr="00B16718">
              <w:rPr>
                <w:rFonts w:eastAsia="Times New Roman"/>
                <w:lang w:eastAsia="hu-HU"/>
              </w:rPr>
              <w:t xml:space="preserve"> Alkalmatlan ajánlattevő, ha az eljárást megindító felhívás feladásának időpontját megelőző három lezárt üzleti év tekintetében az adózott eredménye egynél több évben negatív volt.</w:t>
            </w:r>
          </w:p>
          <w:p w14:paraId="75808BE5" w14:textId="77777777" w:rsidR="00E969FD" w:rsidRPr="003A1F7B" w:rsidRDefault="00E969FD" w:rsidP="00E969FD">
            <w:pPr>
              <w:widowControl w:val="0"/>
              <w:autoSpaceDE w:val="0"/>
              <w:autoSpaceDN w:val="0"/>
              <w:adjustRightInd w:val="0"/>
              <w:ind w:left="130" w:right="150"/>
              <w:rPr>
                <w:rFonts w:eastAsia="Times New Roman"/>
                <w:lang w:eastAsia="hu-HU"/>
              </w:rPr>
            </w:pPr>
          </w:p>
          <w:p w14:paraId="475A0B70" w14:textId="0D02E84C" w:rsidR="003A1F7B" w:rsidRDefault="00E969FD" w:rsidP="003A1F7B">
            <w:pPr>
              <w:spacing w:before="120" w:after="120"/>
              <w:ind w:right="202"/>
              <w:rPr>
                <w:rFonts w:eastAsia="Times New Roman"/>
                <w:lang w:eastAsia="hu-HU"/>
              </w:rPr>
            </w:pPr>
            <w:r w:rsidRPr="003A1F7B">
              <w:rPr>
                <w:rFonts w:eastAsia="Times New Roman"/>
                <w:b/>
                <w:bCs/>
                <w:lang w:eastAsia="hu-HU"/>
              </w:rPr>
              <w:t>P</w:t>
            </w:r>
            <w:r w:rsidR="003A1F7B" w:rsidRPr="003A1F7B">
              <w:rPr>
                <w:rFonts w:eastAsia="Times New Roman"/>
                <w:b/>
                <w:bCs/>
                <w:lang w:eastAsia="hu-HU"/>
              </w:rPr>
              <w:t>.</w:t>
            </w:r>
            <w:r w:rsidRPr="003A1F7B">
              <w:rPr>
                <w:rFonts w:eastAsia="Times New Roman"/>
                <w:b/>
                <w:bCs/>
                <w:lang w:eastAsia="hu-HU"/>
              </w:rPr>
              <w:t>3.</w:t>
            </w:r>
            <w:r w:rsidRPr="003A1F7B">
              <w:rPr>
                <w:rFonts w:eastAsia="Times New Roman"/>
                <w:lang w:eastAsia="hu-HU"/>
              </w:rPr>
              <w:t xml:space="preserve"> Alkalmatlan ajánlattevő, </w:t>
            </w:r>
            <w:r w:rsidR="003A1F7B">
              <w:rPr>
                <w:rFonts w:eastAsia="Times New Roman"/>
                <w:lang w:eastAsia="hu-HU"/>
              </w:rPr>
              <w:t xml:space="preserve">amennyiben a felhívás feladásának napját megelőző három mérlegfordulónappal lezárt üzleti évben (a 3 évben összesen) nem rendelkezik </w:t>
            </w:r>
            <w:commentRangeStart w:id="0"/>
            <w:proofErr w:type="gramStart"/>
            <w:r w:rsidR="003A1F7B">
              <w:rPr>
                <w:rFonts w:eastAsia="Times New Roman"/>
                <w:lang w:eastAsia="hu-HU"/>
              </w:rPr>
              <w:t>1</w:t>
            </w:r>
            <w:r w:rsidR="001C5E44">
              <w:rPr>
                <w:rFonts w:eastAsia="Times New Roman"/>
                <w:lang w:eastAsia="hu-HU"/>
              </w:rPr>
              <w:t>5</w:t>
            </w:r>
            <w:r w:rsidR="003A1F7B">
              <w:rPr>
                <w:rFonts w:eastAsia="Times New Roman"/>
                <w:lang w:eastAsia="hu-HU"/>
              </w:rPr>
              <w:t>.000.000,-</w:t>
            </w:r>
            <w:proofErr w:type="gramEnd"/>
            <w:r w:rsidR="003A1F7B">
              <w:rPr>
                <w:rFonts w:eastAsia="Times New Roman"/>
                <w:lang w:eastAsia="hu-HU"/>
              </w:rPr>
              <w:t xml:space="preserve"> Ft </w:t>
            </w:r>
            <w:commentRangeEnd w:id="0"/>
            <w:r w:rsidR="00F7747F">
              <w:rPr>
                <w:rStyle w:val="Jegyzethivatkozs"/>
              </w:rPr>
              <w:commentReference w:id="0"/>
            </w:r>
            <w:r w:rsidR="003A1F7B">
              <w:rPr>
                <w:rFonts w:eastAsia="Times New Roman"/>
                <w:lang w:eastAsia="hu-HU"/>
              </w:rPr>
              <w:t xml:space="preserve">közbeszerzés tárgya (útépítés) szerinti – általános forgalmi adó nélkül számított – </w:t>
            </w:r>
            <w:r w:rsidR="003A1F7B" w:rsidRPr="00F77911">
              <w:rPr>
                <w:rFonts w:eastAsia="Times New Roman"/>
                <w:lang w:eastAsia="hu-HU"/>
              </w:rPr>
              <w:t>árbevétellel.</w:t>
            </w:r>
          </w:p>
          <w:p w14:paraId="2E3CAF12" w14:textId="6B944B8E" w:rsidR="003A1F7B" w:rsidRPr="00292440" w:rsidRDefault="003A1F7B" w:rsidP="003A1F7B">
            <w:pPr>
              <w:spacing w:before="120" w:after="120"/>
              <w:ind w:right="202"/>
              <w:rPr>
                <w:rFonts w:eastAsia="Times New Roman"/>
                <w:lang w:eastAsia="hu-HU"/>
              </w:rPr>
            </w:pPr>
          </w:p>
        </w:tc>
      </w:tr>
      <w:tr w:rsidR="00292440" w:rsidRPr="00292440" w14:paraId="1ACB1F44" w14:textId="77777777" w:rsidTr="00F31610">
        <w:tc>
          <w:tcPr>
            <w:tcW w:w="9795" w:type="dxa"/>
            <w:gridSpan w:val="2"/>
            <w:hideMark/>
          </w:tcPr>
          <w:p w14:paraId="176BB9FF" w14:textId="77777777" w:rsidR="00F31610" w:rsidRPr="00292440" w:rsidRDefault="00F31610" w:rsidP="00097C75">
            <w:pPr>
              <w:spacing w:before="120" w:after="120"/>
              <w:jc w:val="left"/>
              <w:rPr>
                <w:rFonts w:eastAsia="Times New Roman"/>
                <w:lang w:eastAsia="hu-HU"/>
              </w:rPr>
            </w:pPr>
            <w:r w:rsidRPr="00292440">
              <w:rPr>
                <w:rFonts w:eastAsia="Times New Roman"/>
                <w:b/>
                <w:bCs/>
                <w:lang w:eastAsia="hu-HU"/>
              </w:rPr>
              <w:t>III.1.3) Műszaki, illetve szakmai alkalmasság</w:t>
            </w:r>
          </w:p>
        </w:tc>
      </w:tr>
      <w:tr w:rsidR="00292440" w:rsidRPr="00292440" w14:paraId="40594C71" w14:textId="77777777" w:rsidTr="00F31610">
        <w:tc>
          <w:tcPr>
            <w:tcW w:w="9795" w:type="dxa"/>
            <w:gridSpan w:val="2"/>
          </w:tcPr>
          <w:p w14:paraId="7D7B2CF2" w14:textId="77777777" w:rsidR="004C7F8D" w:rsidRPr="00292440" w:rsidRDefault="004C7F8D" w:rsidP="004C7F8D">
            <w:pPr>
              <w:spacing w:before="120" w:after="120"/>
              <w:jc w:val="left"/>
              <w:rPr>
                <w:rFonts w:eastAsia="Times New Roman"/>
                <w:b/>
                <w:bCs/>
                <w:lang w:eastAsia="hu-HU"/>
              </w:rPr>
            </w:pPr>
            <w:r w:rsidRPr="00292440">
              <w:rPr>
                <w:rFonts w:eastAsia="Times New Roman"/>
                <w:b/>
                <w:bCs/>
                <w:lang w:eastAsia="hu-HU"/>
              </w:rPr>
              <w:t xml:space="preserve">Az igazolási módok felsorolása és rövid leírása: </w:t>
            </w:r>
          </w:p>
          <w:p w14:paraId="7978376C" w14:textId="77777777" w:rsidR="004C7F8D" w:rsidRDefault="004C7F8D" w:rsidP="004C7F8D">
            <w:pPr>
              <w:ind w:right="79"/>
            </w:pPr>
            <w:r w:rsidRPr="00292440">
              <w:rPr>
                <w:rFonts w:eastAsia="Times New Roman"/>
                <w:bCs/>
                <w:lang w:eastAsia="hu-HU"/>
              </w:rPr>
              <w:t>Az A</w:t>
            </w:r>
            <w:r w:rsidRPr="00292440">
              <w:rPr>
                <w:bCs/>
              </w:rPr>
              <w:t>jánlatkérő jelen</w:t>
            </w:r>
            <w:r w:rsidRPr="00292440">
              <w:t xml:space="preserve"> eljárás tekintetében alkalmazza a Kbt. 114/A. § (1) bekezdést, amely értelmében előírja, hogy a felhívásban és a közbeszerzési dokumentumokban meghatározott alkalmassági követelmények alátámasztásául szolgáló igazolásokat az ajánlattevőknek az ajánlatukban kell benyújtaniuk. Ajánlatkérő a 114/A. § (1) bekezdése értemében a 114/A. § (2)-(6) bekezdés rendelkezéseit alkalmazza, a 67. § (1) bekezdés, a 69. § (2)-(9) bekezdés, valamint a 114. § (2) bekezdés rendelkezéseit Ajánlatkérő nem alkalmazza.</w:t>
            </w:r>
          </w:p>
          <w:p w14:paraId="13F31FA6" w14:textId="77777777" w:rsidR="00803CA9" w:rsidRDefault="00803CA9" w:rsidP="004C7F8D">
            <w:pPr>
              <w:ind w:right="79"/>
            </w:pPr>
          </w:p>
          <w:p w14:paraId="7111EF0E" w14:textId="74477B1D" w:rsidR="008C1BB6" w:rsidRDefault="00803CA9" w:rsidP="008C1BB6">
            <w:pPr>
              <w:ind w:right="79"/>
            </w:pPr>
            <w:r w:rsidRPr="00803CA9">
              <w:rPr>
                <w:b/>
                <w:bCs/>
              </w:rPr>
              <w:t>M/1.</w:t>
            </w:r>
            <w:r>
              <w:t xml:space="preserve"> </w:t>
            </w:r>
            <w:r w:rsidR="008C1BB6">
              <w:t>Ajánlattevő a 321/2015. (X.30.) Korm. rendelet 21. § (2) bekezdésének a) pontja és a (2a) bekezdés b) pontja alapján mutassa be az eljárást megindító felhívás feladását megelőző 5 évben (60 hónapban) befejezett, de legfeljebb az eljárást megindító felhívás feladását megelőző 8 éven belül (9</w:t>
            </w:r>
            <w:r w:rsidR="004623C8">
              <w:t>6</w:t>
            </w:r>
            <w:r w:rsidR="00A26E0F">
              <w:t xml:space="preserve"> </w:t>
            </w:r>
            <w:r w:rsidR="008C1BB6">
              <w:t xml:space="preserve">hónapon belül) megkezdett legjelentősebb építési beruházásait a 321/2015. (X. 30.) Korm. rendelet 23. §- a szerinti módon. Az igazolásnak tartalmaznia kell legalább: - a szerződést kötő másik fél </w:t>
            </w:r>
            <w:r w:rsidR="008C1BB6">
              <w:lastRenderedPageBreak/>
              <w:t>megnevezését, - az építési beruházás saját teljesítésű (azaz az M/1 alkalmasságat igazoló gazdasági szereplő saját teljesítése által érintett) mennyiségét; - a kivitelezés tárgyát - az alkalmassági minimumkövetelmény szerinti tartalommal, - a teljesítés helyét, - a teljesítés idejét (kezdő és befejezési időpont legalább év, hónap és nap megjelölésével, külön feltüntetve a műszaki átadás-átvétel időpontját), valamint azt, hogy a teljesítés az előírásoknak és a szerződésnek megfelelően történt-e. A referenciamunkák konzorciumi formában történő teljesítése esetén a fenti adatokat a referencia igazolásnak oly módon kell tartalmaznia, hogy abból az alkalmasságát igazoló gazdasági szereplő saját teljesítése alapján az ajánlattevő alkalmassága egyértelműen megállapítható legyen. Amennyiben a referenciaigazolás nem állítható ki az egyes gazdasági szereplők által végzett munkák elkülönítésével, úgy a referenciaigazolásban a konzorciumi tagok egyetemleges kötelezettségvállalására hivatkozni kell megjelölve, hogy hány százalékos volt a teljesítés alapján az ellenszolgáltatásban való részesülés aránya, tekintettel a 321/2015. (X. 30.) Korm. rendelet 22. § (5) bekezdésében foglaltakra. Ebben az esetben a referenciaigazolásban kérjük feltüntetni az alkalmassági minimumkövetelményben megjelölt kivitelezési tárgyak teljes mennyiségét. A Kbt. 140. § (9) bekezdése alapján a projekttársaság teljesítését az alkalmasság igazolására referenciaként a projekttársaság mindazon tulajdonosai bemutathatják, akik a teljesítésben ténylegesen részt vettek - részvétel mértékéig-, akkor is, ha a projekttársaság időközben megszűnt. Az ajánlatkérő felhívja a figyelmet a 321/2015. (X. 30.) Korm. rendelet (továbbiakban: Rendelet) 22.§ (3) és (4) bekezdésében rögzített előírásokra.</w:t>
            </w:r>
          </w:p>
          <w:p w14:paraId="580CDE6D" w14:textId="77777777" w:rsidR="008C1BB6" w:rsidRDefault="008C1BB6" w:rsidP="00572359">
            <w:pPr>
              <w:shd w:val="clear" w:color="auto" w:fill="FFFFFF"/>
            </w:pPr>
          </w:p>
          <w:p w14:paraId="00BDDCA2" w14:textId="77777777" w:rsidR="00572359" w:rsidRPr="00292440" w:rsidRDefault="008C1BB6" w:rsidP="00572359">
            <w:pPr>
              <w:shd w:val="clear" w:color="auto" w:fill="FFFFFF"/>
              <w:rPr>
                <w:lang w:eastAsia="hu-HU"/>
              </w:rPr>
            </w:pPr>
            <w:r w:rsidRPr="008C1BB6">
              <w:rPr>
                <w:b/>
                <w:bCs/>
              </w:rPr>
              <w:t>M/2.</w:t>
            </w:r>
            <w:r>
              <w:t xml:space="preserve"> </w:t>
            </w:r>
            <w:r w:rsidR="00572359" w:rsidRPr="00292440">
              <w:rPr>
                <w:lang w:eastAsia="hu-HU"/>
              </w:rPr>
              <w:t>A Rendelet 21. § (2) bekezdés b) pontja alapján ajánlattevő csatolja azoknak a szakembereknek (szervezeteknek) – különösen a minőség-ellenőrzésért felelősöknek – az ismertetését (cégszerű nyilatkozattal), akiket be kíván vonni a teljesítésbe. A szakemberek bemutatása során csatolandó: a) ajánlattevő nyilatkozata a teljesítésbe bevonni kívánt szakemberekről, amelyben megjelöli a bevonni kívánt szakembert (szakember n</w:t>
            </w:r>
            <w:r w:rsidR="002B27C8">
              <w:rPr>
                <w:lang w:eastAsia="hu-HU"/>
              </w:rPr>
              <w:t>eve), a szakember képzettségét, illetve</w:t>
            </w:r>
            <w:r w:rsidR="00572359" w:rsidRPr="00292440">
              <w:rPr>
                <w:lang w:eastAsia="hu-HU"/>
              </w:rPr>
              <w:t xml:space="preserve"> végzettségét, továbbá a szakember munkáltatóját, vagy azt a személyt, akivel/amellyel az adott szakember foglalkoztatásra irányuló egyéb jogviszonyban áll, ezen jogviszony megjelölése mellett, b) szakember végzettségét, </w:t>
            </w:r>
            <w:r w:rsidR="002B27C8">
              <w:rPr>
                <w:lang w:eastAsia="hu-HU"/>
              </w:rPr>
              <w:t xml:space="preserve">illetve </w:t>
            </w:r>
            <w:r w:rsidR="00572359" w:rsidRPr="00292440">
              <w:rPr>
                <w:lang w:eastAsia="hu-HU"/>
              </w:rPr>
              <w:t>képzettségét igazoló dokumentumok egyszerű másolata c) a szakember saját kezűleg aláírt szakmai önéletrajza, d) a szakember által aláírt rendelkezésre állásról szóló nyilatkozatok. Ajánlattevőnek az ajánlatban nyilatkoznia kell, hogy nyertessége esetén az általa teljesítésbe bevont szakember/</w:t>
            </w:r>
            <w:proofErr w:type="spellStart"/>
            <w:r w:rsidR="00572359" w:rsidRPr="00292440">
              <w:rPr>
                <w:lang w:eastAsia="hu-HU"/>
              </w:rPr>
              <w:t>ek</w:t>
            </w:r>
            <w:proofErr w:type="spellEnd"/>
            <w:r w:rsidR="00572359" w:rsidRPr="00292440">
              <w:rPr>
                <w:lang w:eastAsia="hu-HU"/>
              </w:rPr>
              <w:t xml:space="preserve"> a kamarai nyilvántartásba vétellel a szerződés megkötéséig rendelkezni fog/</w:t>
            </w:r>
            <w:proofErr w:type="spellStart"/>
            <w:r w:rsidR="00572359" w:rsidRPr="00292440">
              <w:rPr>
                <w:lang w:eastAsia="hu-HU"/>
              </w:rPr>
              <w:t>nak</w:t>
            </w:r>
            <w:proofErr w:type="spellEnd"/>
            <w:r w:rsidR="00572359" w:rsidRPr="00292440">
              <w:rPr>
                <w:lang w:eastAsia="hu-HU"/>
              </w:rPr>
              <w:t xml:space="preserve">. Amennyiben az adott szakember már rendelkezik jogosultsággal, úgy az önéletrajzban szükséges feltüntetni a jogosultság megszerzésének dátumát. A szakmai tapasztalatot év/hónap bontásban, kezdő és befejező időpont (év/hó) feltüntetésével kérjük megadni. A nyilvántartásba-vétel elmaradása az ajánlattevő szerződéskötéstől való visszalépésének minősül a Kbt. 131. § (4) bekezdése alapján, amely esetben ajánlatkérő - amennyiben kihirdetésre került - a második legkedvezőbb ajánlatot benyújtóval köti meg a szerződést. Amennyiben az adott szakember már szerepel az illetékes kamara által vezetett elektronikus hatósági nyilvántartásban az alkalmassági követelmény keretében előírt jogosultsággal, úgy ajánlatkérő a végzettség és szakmai tapasztalat meglétét az elektronikus nyilvántartásban ellenőrzi, így azok igazolása egyéb dokumentummal nem szükséges. Amennyiben a bemutatott szakember az elektronikus nyilvántartásban adminisztrációs okokból nem szerepel, úgy az előírt jogosultság fennállása az illetékes kamara által kiállított, a tárgyévre vonatkozó érvényes igazolással is igazolható. A honlapon történő ellenőrzés elősegítése érdekében ajánlattevő csatolhatja, megadhatja a jogosultság elérési útvonalát. Más tagállamban szerzett jogosultság esetében a küldő vagy származási országban a jogosultságot igazoló dokumentum </w:t>
            </w:r>
            <w:r w:rsidR="006216E8">
              <w:rPr>
                <w:lang w:eastAsia="hu-HU"/>
              </w:rPr>
              <w:t>ajánlattevő általi</w:t>
            </w:r>
            <w:r w:rsidR="00572359" w:rsidRPr="00292440">
              <w:rPr>
                <w:lang w:eastAsia="hu-HU"/>
              </w:rPr>
              <w:t xml:space="preserve"> fordításának benyújtása szükséges.</w:t>
            </w:r>
          </w:p>
          <w:p w14:paraId="0EC5EEF3" w14:textId="77777777" w:rsidR="00572359" w:rsidRDefault="00572359" w:rsidP="00572359">
            <w:pPr>
              <w:ind w:right="127"/>
              <w:rPr>
                <w:rFonts w:eastAsia="Times New Roman"/>
                <w:lang w:eastAsia="hu-HU"/>
              </w:rPr>
            </w:pPr>
          </w:p>
          <w:p w14:paraId="5A6C8751" w14:textId="39F581D0" w:rsidR="00D916BC" w:rsidRDefault="00D916BC" w:rsidP="00D916BC">
            <w:pPr>
              <w:shd w:val="clear" w:color="auto" w:fill="FFFFFF"/>
              <w:rPr>
                <w:lang w:eastAsia="hu-HU"/>
              </w:rPr>
            </w:pPr>
            <w:r w:rsidRPr="00B16718">
              <w:rPr>
                <w:b/>
                <w:lang w:eastAsia="hu-HU"/>
              </w:rPr>
              <w:t>M/3.</w:t>
            </w:r>
            <w:r w:rsidRPr="00B16718">
              <w:rPr>
                <w:lang w:eastAsia="hu-HU"/>
              </w:rPr>
              <w:t xml:space="preserve"> Az előz</w:t>
            </w:r>
            <w:r w:rsidR="002B27C8" w:rsidRPr="00B16718">
              <w:rPr>
                <w:lang w:eastAsia="hu-HU"/>
              </w:rPr>
              <w:t>ő 3 naptári év (202</w:t>
            </w:r>
            <w:r w:rsidR="00A26E0F" w:rsidRPr="00B16718">
              <w:rPr>
                <w:lang w:eastAsia="hu-HU"/>
              </w:rPr>
              <w:t>2</w:t>
            </w:r>
            <w:r w:rsidR="002B27C8" w:rsidRPr="00B16718">
              <w:rPr>
                <w:lang w:eastAsia="hu-HU"/>
              </w:rPr>
              <w:t>; 202</w:t>
            </w:r>
            <w:r w:rsidR="00A26E0F" w:rsidRPr="00B16718">
              <w:rPr>
                <w:lang w:eastAsia="hu-HU"/>
              </w:rPr>
              <w:t>3</w:t>
            </w:r>
            <w:r w:rsidRPr="00B16718">
              <w:rPr>
                <w:lang w:eastAsia="hu-HU"/>
              </w:rPr>
              <w:t>; 2</w:t>
            </w:r>
            <w:r w:rsidR="002B27C8" w:rsidRPr="00B16718">
              <w:rPr>
                <w:lang w:eastAsia="hu-HU"/>
              </w:rPr>
              <w:t>02</w:t>
            </w:r>
            <w:r w:rsidR="00A26E0F" w:rsidRPr="00B16718">
              <w:rPr>
                <w:lang w:eastAsia="hu-HU"/>
              </w:rPr>
              <w:t>4</w:t>
            </w:r>
            <w:r w:rsidRPr="00B16718">
              <w:rPr>
                <w:lang w:eastAsia="hu-HU"/>
              </w:rPr>
              <w:t>) éves átlagos statisztikai állományi létszámáról és vezető tisztségviselőinek létszámáról készült kimutatást (Rendelet 21.§ (2) bekezdés g) pontja).</w:t>
            </w:r>
          </w:p>
          <w:p w14:paraId="312B0A93" w14:textId="77777777" w:rsidR="00E83F31" w:rsidRDefault="00E83F31" w:rsidP="00D916BC">
            <w:pPr>
              <w:shd w:val="clear" w:color="auto" w:fill="FFFFFF"/>
              <w:rPr>
                <w:lang w:eastAsia="hu-HU"/>
              </w:rPr>
            </w:pPr>
          </w:p>
          <w:p w14:paraId="37B2A43A" w14:textId="32C47DC8" w:rsidR="00E83F31" w:rsidRDefault="00E83F31" w:rsidP="00E83F31">
            <w:pPr>
              <w:shd w:val="clear" w:color="auto" w:fill="FFFFFF"/>
              <w:rPr>
                <w:lang w:eastAsia="hu-HU"/>
              </w:rPr>
            </w:pPr>
            <w:r w:rsidRPr="00E83F31">
              <w:rPr>
                <w:b/>
                <w:bCs/>
                <w:lang w:eastAsia="hu-HU"/>
              </w:rPr>
              <w:t>M/4.</w:t>
            </w:r>
            <w:r>
              <w:rPr>
                <w:lang w:eastAsia="hu-HU"/>
              </w:rPr>
              <w:t xml:space="preserve"> Ajánlattevőnek a 321/2015. (X.30.) Korm. rendelet 21. § (2) bekezdés c) pontja szerint csatolnia a beszerzés tárgyához illeszkedő (útépítés) ISO 9001, valamint ISO 14001 vagy ezekkel - a 321/2015. (X. 30.) Korm. rendelet 24. § (3) bekezdés szerinti- egyenértékű szabvány szerinti minőségirányítási </w:t>
            </w:r>
            <w:r>
              <w:rPr>
                <w:lang w:eastAsia="hu-HU"/>
              </w:rPr>
              <w:lastRenderedPageBreak/>
              <w:t>rendszerének érvényes tanúsítványát, vagy a minőségbiztosítás érdekében tett egyéb egyenértékű intézkedéseinek bizonyítékát.</w:t>
            </w:r>
            <w:r>
              <w:rPr>
                <w:lang w:eastAsia="hu-HU"/>
              </w:rPr>
              <w:cr/>
            </w:r>
          </w:p>
          <w:p w14:paraId="109005C2" w14:textId="77777777" w:rsidR="006216E8" w:rsidRDefault="006216E8" w:rsidP="00D916BC">
            <w:pPr>
              <w:shd w:val="clear" w:color="auto" w:fill="FFFFFF"/>
              <w:rPr>
                <w:lang w:eastAsia="hu-HU"/>
              </w:rPr>
            </w:pPr>
          </w:p>
          <w:p w14:paraId="3D88F2FE" w14:textId="77777777" w:rsidR="006216E8" w:rsidRPr="00292440" w:rsidRDefault="006216E8" w:rsidP="006216E8">
            <w:pPr>
              <w:ind w:right="127"/>
              <w:rPr>
                <w:rFonts w:eastAsia="Times New Roman"/>
                <w:lang w:eastAsia="hu-HU"/>
              </w:rPr>
            </w:pPr>
            <w:r w:rsidRPr="00292440">
              <w:rPr>
                <w:rFonts w:eastAsia="Times New Roman"/>
                <w:lang w:eastAsia="hu-HU"/>
              </w:rPr>
              <w:t>Alkalmazandóak továbbá a Kbt. 65. §-</w:t>
            </w:r>
            <w:proofErr w:type="spellStart"/>
            <w:r w:rsidRPr="00292440">
              <w:rPr>
                <w:rFonts w:eastAsia="Times New Roman"/>
                <w:lang w:eastAsia="hu-HU"/>
              </w:rPr>
              <w:t>ának</w:t>
            </w:r>
            <w:proofErr w:type="spellEnd"/>
            <w:r w:rsidRPr="00292440">
              <w:rPr>
                <w:rFonts w:eastAsia="Times New Roman"/>
                <w:lang w:eastAsia="hu-HU"/>
              </w:rPr>
              <w:t xml:space="preserve"> (6)-(7), (9) és (11)-(12), a Kbt. 69. §-</w:t>
            </w:r>
            <w:proofErr w:type="spellStart"/>
            <w:r w:rsidRPr="00292440">
              <w:rPr>
                <w:rFonts w:eastAsia="Times New Roman"/>
                <w:lang w:eastAsia="hu-HU"/>
              </w:rPr>
              <w:t>ának</w:t>
            </w:r>
            <w:proofErr w:type="spellEnd"/>
            <w:r w:rsidRPr="00292440">
              <w:rPr>
                <w:rFonts w:eastAsia="Times New Roman"/>
                <w:lang w:eastAsia="hu-HU"/>
              </w:rPr>
              <w:t xml:space="preserve"> (11a) </w:t>
            </w:r>
            <w:proofErr w:type="spellStart"/>
            <w:r w:rsidRPr="00292440">
              <w:rPr>
                <w:rFonts w:eastAsia="Times New Roman"/>
                <w:lang w:eastAsia="hu-HU"/>
              </w:rPr>
              <w:t>bek-ben</w:t>
            </w:r>
            <w:proofErr w:type="spellEnd"/>
            <w:r w:rsidRPr="00292440">
              <w:rPr>
                <w:rFonts w:eastAsia="Times New Roman"/>
                <w:lang w:eastAsia="hu-HU"/>
              </w:rPr>
              <w:t>, valamint a Kbt. 140. §-</w:t>
            </w:r>
            <w:proofErr w:type="spellStart"/>
            <w:r w:rsidRPr="00292440">
              <w:rPr>
                <w:rFonts w:eastAsia="Times New Roman"/>
                <w:lang w:eastAsia="hu-HU"/>
              </w:rPr>
              <w:t>ának</w:t>
            </w:r>
            <w:proofErr w:type="spellEnd"/>
            <w:r w:rsidRPr="00292440">
              <w:rPr>
                <w:rFonts w:eastAsia="Times New Roman"/>
                <w:lang w:eastAsia="hu-HU"/>
              </w:rPr>
              <w:t xml:space="preserve"> (9) </w:t>
            </w:r>
            <w:proofErr w:type="spellStart"/>
            <w:r w:rsidRPr="00292440">
              <w:rPr>
                <w:rFonts w:eastAsia="Times New Roman"/>
                <w:lang w:eastAsia="hu-HU"/>
              </w:rPr>
              <w:t>bek-ben</w:t>
            </w:r>
            <w:proofErr w:type="spellEnd"/>
            <w:r w:rsidRPr="00292440">
              <w:rPr>
                <w:rFonts w:eastAsia="Times New Roman"/>
                <w:lang w:eastAsia="hu-HU"/>
              </w:rPr>
              <w:t xml:space="preserve"> foglaltak.</w:t>
            </w:r>
          </w:p>
          <w:p w14:paraId="49DED131" w14:textId="77777777" w:rsidR="006216E8" w:rsidRPr="00292440" w:rsidRDefault="006216E8" w:rsidP="006216E8">
            <w:pPr>
              <w:ind w:right="127"/>
              <w:rPr>
                <w:rFonts w:eastAsia="Times New Roman"/>
                <w:lang w:eastAsia="hu-HU"/>
              </w:rPr>
            </w:pPr>
            <w:r w:rsidRPr="00292440">
              <w:rPr>
                <w:rFonts w:eastAsia="Times New Roman"/>
                <w:lang w:eastAsia="hu-HU"/>
              </w:rPr>
              <w:t xml:space="preserve">A műszaki és szakmai alkalmassági követelménynek az ajánlattevő bármely más szervezet kapacitására támaszkodva - a közöttük fennálló kapcsolat jogi jellegétől függetlenül – is megfelelhet. </w:t>
            </w:r>
          </w:p>
          <w:p w14:paraId="040C21A4" w14:textId="77777777" w:rsidR="006216E8" w:rsidRDefault="006216E8" w:rsidP="006216E8">
            <w:pPr>
              <w:ind w:right="127"/>
              <w:rPr>
                <w:rFonts w:eastAsia="Times New Roman"/>
                <w:lang w:eastAsia="hu-HU"/>
              </w:rPr>
            </w:pPr>
            <w:r w:rsidRPr="00292440">
              <w:rPr>
                <w:rFonts w:eastAsia="Times New Roman"/>
                <w:lang w:eastAsia="hu-HU"/>
              </w:rPr>
              <w:t xml:space="preserve">Meg kell jelölni az ajánlatban ezt a szervezetet és az ajánlattételi felhívás vonatkozó pontjának megjelölésével azon alkalmassági követelményt, amely igazolása érdekében az ajánlattevő ezen kapacitásait rendelkezésre bocsátó szervezet erőforrásaira támaszkodik. </w:t>
            </w:r>
          </w:p>
          <w:p w14:paraId="60734613" w14:textId="77777777" w:rsidR="00572359" w:rsidRPr="00292440" w:rsidRDefault="00572359" w:rsidP="00572359">
            <w:pPr>
              <w:ind w:right="127"/>
              <w:rPr>
                <w:rFonts w:eastAsia="Times New Roman"/>
                <w:lang w:eastAsia="hu-HU"/>
              </w:rPr>
            </w:pPr>
          </w:p>
          <w:p w14:paraId="41543B44" w14:textId="77777777" w:rsidR="00572359" w:rsidRPr="00292440" w:rsidRDefault="00572359" w:rsidP="00572359">
            <w:pPr>
              <w:ind w:right="127"/>
              <w:rPr>
                <w:rFonts w:eastAsia="Times New Roman"/>
                <w:lang w:eastAsia="hu-HU"/>
              </w:rPr>
            </w:pPr>
            <w:r w:rsidRPr="00292440">
              <w:rPr>
                <w:rFonts w:eastAsia="Times New Roman"/>
                <w:lang w:eastAsia="hu-HU"/>
              </w:rPr>
              <w:t xml:space="preserve">Csatolni kell az ajánlatban a kapacitásait rendelkezésre bocsátó szervezet olyan szerződéses vagy előszerződésben vagy egyéb módon vállalt kötelezettségvállalását tartalmazó okiratot, amely alátámasztja, hogy az adott kapacitást biztosító szervezet ténylegesen részt vesz a szerződés teljesítésében [Kbt. 65. § (7) és (9) </w:t>
            </w:r>
            <w:proofErr w:type="spellStart"/>
            <w:r w:rsidRPr="00292440">
              <w:rPr>
                <w:rFonts w:eastAsia="Times New Roman"/>
                <w:lang w:eastAsia="hu-HU"/>
              </w:rPr>
              <w:t>bek</w:t>
            </w:r>
            <w:proofErr w:type="spellEnd"/>
            <w:r w:rsidRPr="00292440">
              <w:rPr>
                <w:rFonts w:eastAsia="Times New Roman"/>
                <w:lang w:eastAsia="hu-HU"/>
              </w:rPr>
              <w:t xml:space="preserve">]. (Az ajánlatkérő a teljesítés során ellenőrzi, hogy a teljesítésbe történő bevonás mértéke megfelel-e a Kbt. 65. § (9) </w:t>
            </w:r>
            <w:proofErr w:type="spellStart"/>
            <w:r w:rsidRPr="00292440">
              <w:rPr>
                <w:rFonts w:eastAsia="Times New Roman"/>
                <w:lang w:eastAsia="hu-HU"/>
              </w:rPr>
              <w:t>bek-ben</w:t>
            </w:r>
            <w:proofErr w:type="spellEnd"/>
            <w:r w:rsidRPr="00292440">
              <w:rPr>
                <w:rFonts w:eastAsia="Times New Roman"/>
                <w:lang w:eastAsia="hu-HU"/>
              </w:rPr>
              <w:t xml:space="preserve"> foglaltaknak, </w:t>
            </w:r>
            <w:proofErr w:type="gramStart"/>
            <w:r w:rsidRPr="00292440">
              <w:rPr>
                <w:rFonts w:eastAsia="Times New Roman"/>
                <w:lang w:eastAsia="hu-HU"/>
              </w:rPr>
              <w:t>azaz</w:t>
            </w:r>
            <w:proofErr w:type="gramEnd"/>
            <w:r w:rsidRPr="00292440">
              <w:rPr>
                <w:rFonts w:eastAsia="Times New Roman"/>
                <w:lang w:eastAsia="hu-HU"/>
              </w:rPr>
              <w:t xml:space="preserve"> hogy az adott kapacitást biztosító szervezet olyan mértékben vesz-e részt a szerződés teljesítésében, amely biztosítja a műszaki-szakmai alkalmassági követelményben elvárt szakmai tapasztalat érvényesülését a teljesítésben.)</w:t>
            </w:r>
          </w:p>
          <w:p w14:paraId="57727CEA" w14:textId="77777777" w:rsidR="00572359" w:rsidRPr="00292440" w:rsidRDefault="00572359" w:rsidP="00572359">
            <w:pPr>
              <w:ind w:right="127"/>
              <w:rPr>
                <w:rFonts w:eastAsia="Times New Roman"/>
                <w:lang w:eastAsia="hu-HU"/>
              </w:rPr>
            </w:pPr>
            <w:r w:rsidRPr="00292440">
              <w:rPr>
                <w:rFonts w:eastAsia="Times New Roman"/>
                <w:lang w:eastAsia="hu-HU"/>
              </w:rPr>
              <w:t>A kapacitásait rendelkezésre bocsátó szervezetnek az előírt igazolási módokkal azonos módon kell igazolnia az adott műszaki és szakmai alkalmassági feltételnek történő megfelelést [Kbt. 67. § (3) bekezdés].</w:t>
            </w:r>
          </w:p>
          <w:p w14:paraId="5E2EF559" w14:textId="77777777" w:rsidR="00572359" w:rsidRPr="00292440" w:rsidRDefault="00572359" w:rsidP="00572359">
            <w:pPr>
              <w:ind w:right="127"/>
              <w:rPr>
                <w:rFonts w:eastAsia="Times New Roman"/>
                <w:lang w:eastAsia="hu-HU"/>
              </w:rPr>
            </w:pPr>
            <w:r w:rsidRPr="00292440">
              <w:rPr>
                <w:rFonts w:eastAsia="Times New Roman"/>
                <w:lang w:eastAsia="hu-HU"/>
              </w:rPr>
              <w:t>Az előírt műszaki és szakmai alkalmassági követelménynek – figyelemmel a Kbt. 65. § (6) bekezdésében foglaltakra – közös ajánlattétel esetén a közös ajánlattevők együttesen is megfelelhetnek.</w:t>
            </w:r>
          </w:p>
          <w:p w14:paraId="4A873717" w14:textId="77777777" w:rsidR="004C7F8D" w:rsidRPr="00292440" w:rsidRDefault="00572359" w:rsidP="0069325F">
            <w:pPr>
              <w:ind w:right="79"/>
              <w:rPr>
                <w:rFonts w:eastAsia="Times New Roman"/>
                <w:b/>
                <w:bCs/>
                <w:lang w:eastAsia="hu-HU"/>
              </w:rPr>
            </w:pPr>
            <w:r w:rsidRPr="00292440">
              <w:rPr>
                <w:rFonts w:eastAsia="Times New Roman"/>
                <w:lang w:eastAsia="hu-HU"/>
              </w:rPr>
              <w:t>Az ajánlatkérő felhívja az ajánlattevők figyelmét a 321/2015.</w:t>
            </w:r>
            <w:r w:rsidR="00F324C9">
              <w:rPr>
                <w:rFonts w:eastAsia="Times New Roman"/>
                <w:lang w:eastAsia="hu-HU"/>
              </w:rPr>
              <w:t xml:space="preserve"> (X.30.) Korm. rendelet 21. § (2</w:t>
            </w:r>
            <w:r w:rsidRPr="00292440">
              <w:rPr>
                <w:rFonts w:eastAsia="Times New Roman"/>
                <w:lang w:eastAsia="hu-HU"/>
              </w:rPr>
              <w:t>a)</w:t>
            </w:r>
            <w:r>
              <w:rPr>
                <w:rFonts w:eastAsia="Times New Roman"/>
                <w:lang w:eastAsia="hu-HU"/>
              </w:rPr>
              <w:t xml:space="preserve"> </w:t>
            </w:r>
            <w:proofErr w:type="spellStart"/>
            <w:r>
              <w:rPr>
                <w:rFonts w:eastAsia="Times New Roman"/>
                <w:lang w:eastAsia="hu-HU"/>
              </w:rPr>
              <w:t>bek</w:t>
            </w:r>
            <w:proofErr w:type="spellEnd"/>
            <w:r>
              <w:rPr>
                <w:rFonts w:eastAsia="Times New Roman"/>
                <w:lang w:eastAsia="hu-HU"/>
              </w:rPr>
              <w:t>. a) pontjára és 21/A. §-ára</w:t>
            </w:r>
            <w:r w:rsidRPr="00292440">
              <w:rPr>
                <w:rFonts w:eastAsia="Times New Roman"/>
                <w:lang w:eastAsia="hu-HU"/>
              </w:rPr>
              <w:t xml:space="preserve"> is.</w:t>
            </w:r>
          </w:p>
        </w:tc>
      </w:tr>
      <w:tr w:rsidR="00292440" w:rsidRPr="00292440" w14:paraId="58BC0EA4" w14:textId="77777777" w:rsidTr="00F31610">
        <w:tc>
          <w:tcPr>
            <w:tcW w:w="9795" w:type="dxa"/>
            <w:gridSpan w:val="2"/>
          </w:tcPr>
          <w:p w14:paraId="3CD651C9" w14:textId="77777777" w:rsidR="004C7F8D" w:rsidRPr="00901B1D" w:rsidRDefault="004C7F8D" w:rsidP="004C7F8D">
            <w:pPr>
              <w:spacing w:before="120" w:after="120"/>
              <w:jc w:val="left"/>
              <w:rPr>
                <w:rFonts w:eastAsia="Times New Roman"/>
                <w:b/>
                <w:bCs/>
                <w:lang w:eastAsia="hu-HU"/>
              </w:rPr>
            </w:pPr>
            <w:r w:rsidRPr="00901B1D">
              <w:rPr>
                <w:rFonts w:eastAsia="Times New Roman"/>
                <w:b/>
                <w:bCs/>
                <w:lang w:eastAsia="hu-HU"/>
              </w:rPr>
              <w:lastRenderedPageBreak/>
              <w:t>Alkalmassági minimumkövetelmény(</w:t>
            </w:r>
            <w:proofErr w:type="spellStart"/>
            <w:r w:rsidRPr="00901B1D">
              <w:rPr>
                <w:rFonts w:eastAsia="Times New Roman"/>
                <w:b/>
                <w:bCs/>
                <w:lang w:eastAsia="hu-HU"/>
              </w:rPr>
              <w:t>ek</w:t>
            </w:r>
            <w:proofErr w:type="spellEnd"/>
            <w:r w:rsidRPr="00901B1D">
              <w:rPr>
                <w:rFonts w:eastAsia="Times New Roman"/>
                <w:b/>
                <w:bCs/>
                <w:lang w:eastAsia="hu-HU"/>
              </w:rPr>
              <w:t xml:space="preserve">): </w:t>
            </w:r>
          </w:p>
          <w:p w14:paraId="129FFB20" w14:textId="15177C24" w:rsidR="003A1F7B" w:rsidRDefault="00803CA9" w:rsidP="002B27C8">
            <w:pPr>
              <w:autoSpaceDE w:val="0"/>
              <w:autoSpaceDN w:val="0"/>
              <w:adjustRightInd w:val="0"/>
            </w:pPr>
            <w:r w:rsidRPr="00901B1D">
              <w:rPr>
                <w:b/>
                <w:bCs/>
              </w:rPr>
              <w:t>M/1.</w:t>
            </w:r>
            <w:r w:rsidR="00572359" w:rsidRPr="00901B1D">
              <w:rPr>
                <w:rFonts w:ascii="FiraSans-Regular" w:hAnsi="FiraSans-Regular" w:cs="FiraSans-Regular"/>
                <w:sz w:val="21"/>
                <w:szCs w:val="21"/>
                <w:lang w:eastAsia="hu-HU"/>
              </w:rPr>
              <w:t xml:space="preserve"> </w:t>
            </w:r>
            <w:r w:rsidR="008C1BB6" w:rsidRPr="00901B1D">
              <w:t xml:space="preserve">Alkalmatlan az ajánlattevő, ha nem rendelkezik az ajánlati felhívás feladásától visszafelé számított 60 hónapon belül befejezett - de legfeljebb 96 hónap belül megkezdett -, sikeres műszaki átadás-átvételi eljárással lezárt és szerződésszerűen teljesített </w:t>
            </w:r>
            <w:commentRangeStart w:id="1"/>
            <w:r w:rsidR="008C1BB6" w:rsidRPr="00901B1D">
              <w:t xml:space="preserve">összesen legalább </w:t>
            </w:r>
            <w:r w:rsidR="001C5E44">
              <w:t>1500</w:t>
            </w:r>
            <w:r w:rsidR="008C1BB6" w:rsidRPr="00901B1D">
              <w:t xml:space="preserve"> m</w:t>
            </w:r>
            <w:r w:rsidR="00A26E0F">
              <w:t>2</w:t>
            </w:r>
            <w:r w:rsidR="008C1BB6" w:rsidRPr="00901B1D">
              <w:t xml:space="preserve"> hosszú</w:t>
            </w:r>
            <w:r w:rsidR="002B27C8" w:rsidRPr="00901B1D">
              <w:t>ságú</w:t>
            </w:r>
            <w:commentRangeEnd w:id="1"/>
            <w:r w:rsidR="00F7747F">
              <w:rPr>
                <w:rStyle w:val="Jegyzethivatkozs"/>
              </w:rPr>
              <w:commentReference w:id="1"/>
            </w:r>
            <w:r w:rsidR="00A26E0F">
              <w:t xml:space="preserve">, helyi közútként forgalomba helyezett aszfalt pályaszerkezetű út építése és/vagy felújítása tárgyú </w:t>
            </w:r>
            <w:r w:rsidR="008C1BB6" w:rsidRPr="00901B1D">
              <w:t xml:space="preserve">referencia munkával. </w:t>
            </w:r>
          </w:p>
          <w:p w14:paraId="0DB78483" w14:textId="77777777" w:rsidR="003A1F7B" w:rsidRDefault="003A1F7B" w:rsidP="002B27C8">
            <w:pPr>
              <w:autoSpaceDE w:val="0"/>
              <w:autoSpaceDN w:val="0"/>
              <w:adjustRightInd w:val="0"/>
            </w:pPr>
          </w:p>
          <w:p w14:paraId="2DA22371" w14:textId="77777777" w:rsidR="00A26E0F" w:rsidRPr="00901B1D" w:rsidRDefault="00A26E0F" w:rsidP="00A26E0F">
            <w:pPr>
              <w:autoSpaceDE w:val="0"/>
              <w:autoSpaceDN w:val="0"/>
              <w:adjustRightInd w:val="0"/>
              <w:rPr>
                <w:rFonts w:ascii="FiraSans-Regular" w:hAnsi="FiraSans-Regular" w:cs="FiraSans-Regular"/>
                <w:sz w:val="21"/>
                <w:szCs w:val="21"/>
                <w:lang w:eastAsia="hu-HU"/>
              </w:rPr>
            </w:pPr>
            <w:r w:rsidRPr="00901B1D">
              <w:t xml:space="preserve">Az alkalmasság minimumkövetelményeiben meghatározott előírás </w:t>
            </w:r>
            <w:r>
              <w:t>2</w:t>
            </w:r>
            <w:r w:rsidRPr="00901B1D">
              <w:t xml:space="preserve"> db szerződéssel igazolható.</w:t>
            </w:r>
          </w:p>
          <w:p w14:paraId="49F46126" w14:textId="77777777" w:rsidR="00A26E0F" w:rsidRDefault="003A1F7B" w:rsidP="002B27C8">
            <w:pPr>
              <w:autoSpaceDE w:val="0"/>
              <w:autoSpaceDN w:val="0"/>
              <w:adjustRightInd w:val="0"/>
            </w:pPr>
            <w:r w:rsidRPr="00A26E0F">
              <w:t xml:space="preserve">Ajánlatkérő helyi közútként forgalomba helyezett út alatt a közutak igazgatásáról szóló 26/2021. (VI.28.) ITM rendelet 8.§ (2) bekezdés </w:t>
            </w:r>
            <w:proofErr w:type="gramStart"/>
            <w:r w:rsidRPr="00A26E0F">
              <w:t>a)-</w:t>
            </w:r>
            <w:proofErr w:type="gramEnd"/>
            <w:r w:rsidRPr="00A26E0F">
              <w:t xml:space="preserve">c) pontja szerinti fogalmakat érti. </w:t>
            </w:r>
          </w:p>
          <w:p w14:paraId="017251C8" w14:textId="3F3FD11C" w:rsidR="003A1F7B" w:rsidRDefault="003A1F7B" w:rsidP="002B27C8">
            <w:pPr>
              <w:autoSpaceDE w:val="0"/>
              <w:autoSpaceDN w:val="0"/>
              <w:adjustRightInd w:val="0"/>
            </w:pPr>
            <w:r w:rsidRPr="00A26E0F">
              <w:t xml:space="preserve">Út építésébe és/vagy felújításba nem tartozik az úthelyreállítás és </w:t>
            </w:r>
            <w:proofErr w:type="spellStart"/>
            <w:r w:rsidRPr="00A26E0F">
              <w:t>kátyúzási</w:t>
            </w:r>
            <w:proofErr w:type="spellEnd"/>
            <w:r w:rsidRPr="00A26E0F">
              <w:t xml:space="preserve"> munkák.”</w:t>
            </w:r>
          </w:p>
          <w:p w14:paraId="449E9DC5" w14:textId="77777777" w:rsidR="008C1BB6" w:rsidRPr="00901B1D" w:rsidRDefault="008C1BB6" w:rsidP="00572359">
            <w:pPr>
              <w:autoSpaceDE w:val="0"/>
              <w:autoSpaceDN w:val="0"/>
              <w:adjustRightInd w:val="0"/>
              <w:jc w:val="left"/>
              <w:rPr>
                <w:rFonts w:ascii="FiraSans-Regular" w:hAnsi="FiraSans-Regular" w:cs="FiraSans-Regular"/>
                <w:sz w:val="21"/>
                <w:szCs w:val="21"/>
                <w:lang w:eastAsia="hu-HU"/>
              </w:rPr>
            </w:pPr>
          </w:p>
          <w:p w14:paraId="1417705A" w14:textId="77777777" w:rsidR="00572359" w:rsidRPr="00901B1D" w:rsidRDefault="008C1BB6" w:rsidP="00572359">
            <w:pPr>
              <w:autoSpaceDE w:val="0"/>
              <w:autoSpaceDN w:val="0"/>
              <w:adjustRightInd w:val="0"/>
              <w:jc w:val="left"/>
              <w:rPr>
                <w:rFonts w:eastAsia="Times New Roman"/>
                <w:lang w:eastAsia="hu-HU"/>
              </w:rPr>
            </w:pPr>
            <w:r w:rsidRPr="00901B1D">
              <w:rPr>
                <w:b/>
                <w:bCs/>
                <w:lang w:eastAsia="hu-HU"/>
              </w:rPr>
              <w:t>M/2.</w:t>
            </w:r>
            <w:r w:rsidRPr="00901B1D">
              <w:rPr>
                <w:rFonts w:ascii="FiraSans-Regular" w:hAnsi="FiraSans-Regular" w:cs="FiraSans-Regular"/>
                <w:sz w:val="21"/>
                <w:szCs w:val="21"/>
                <w:lang w:eastAsia="hu-HU"/>
              </w:rPr>
              <w:t xml:space="preserve"> </w:t>
            </w:r>
            <w:r w:rsidR="00572359" w:rsidRPr="00901B1D">
              <w:rPr>
                <w:rFonts w:eastAsia="Times New Roman"/>
                <w:lang w:eastAsia="hu-HU"/>
              </w:rPr>
              <w:t>Alkalmatlan az Ajánlattevő, ha nem rendelkezik</w:t>
            </w:r>
          </w:p>
          <w:p w14:paraId="4F84BB20" w14:textId="129416CF" w:rsidR="007F5E24" w:rsidRDefault="00B16718" w:rsidP="001C5E44">
            <w:pPr>
              <w:autoSpaceDE w:val="0"/>
              <w:autoSpaceDN w:val="0"/>
              <w:adjustRightInd w:val="0"/>
              <w:rPr>
                <w:rFonts w:eastAsia="Times New Roman"/>
                <w:lang w:eastAsia="hu-HU"/>
              </w:rPr>
            </w:pPr>
            <w:r w:rsidRPr="00B16718">
              <w:rPr>
                <w:rFonts w:eastAsia="Times New Roman"/>
                <w:lang w:eastAsia="hu-HU"/>
              </w:rPr>
              <w:t>legalább 1 fő szakemberrel, aki rendelkezik a 266/2013. (VII.11.) Korm. rendelet VI. Felelős műszaki vezetés 3. rész a sajátos építményfajták felelős műszaki vezetői szakterületek szerinti MV-KÉ (vagy azzal egyenértékű) jogosultság megszerzéséhez szükséges vagy azzal egyenértékű végzettséggel és szakmai gyakorlati idővel.</w:t>
            </w:r>
          </w:p>
          <w:p w14:paraId="56F2E9F4" w14:textId="77777777" w:rsidR="00B16718" w:rsidRPr="00901B1D" w:rsidRDefault="00B16718" w:rsidP="0069325F">
            <w:pPr>
              <w:autoSpaceDE w:val="0"/>
              <w:autoSpaceDN w:val="0"/>
              <w:adjustRightInd w:val="0"/>
              <w:jc w:val="left"/>
              <w:rPr>
                <w:rFonts w:eastAsia="Times New Roman"/>
                <w:lang w:eastAsia="hu-HU"/>
              </w:rPr>
            </w:pPr>
          </w:p>
          <w:p w14:paraId="01C00777" w14:textId="77777777" w:rsidR="006216E8" w:rsidRDefault="007F5E24" w:rsidP="0044256E">
            <w:pPr>
              <w:shd w:val="clear" w:color="auto" w:fill="FFFFFF"/>
              <w:rPr>
                <w:rFonts w:eastAsia="Times New Roman"/>
                <w:lang w:eastAsia="hu-HU"/>
              </w:rPr>
            </w:pPr>
            <w:r w:rsidRPr="00B16718">
              <w:rPr>
                <w:b/>
                <w:bCs/>
                <w:lang w:eastAsia="hu-HU"/>
              </w:rPr>
              <w:t xml:space="preserve">M/3. </w:t>
            </w:r>
            <w:r w:rsidRPr="00B16718">
              <w:rPr>
                <w:rFonts w:eastAsia="Times New Roman"/>
                <w:lang w:eastAsia="hu-HU"/>
              </w:rPr>
              <w:t>Alkalmatlan az Ajánlattevő, ha nem rendelk</w:t>
            </w:r>
            <w:r w:rsidR="00D63A76" w:rsidRPr="00B16718">
              <w:rPr>
                <w:rFonts w:eastAsia="Times New Roman"/>
                <w:lang w:eastAsia="hu-HU"/>
              </w:rPr>
              <w:t>ezik az előző 3 naptári év (202</w:t>
            </w:r>
            <w:r w:rsidR="003A1F7B" w:rsidRPr="00B16718">
              <w:rPr>
                <w:rFonts w:eastAsia="Times New Roman"/>
                <w:lang w:eastAsia="hu-HU"/>
              </w:rPr>
              <w:t>2</w:t>
            </w:r>
            <w:r w:rsidR="00D63A76" w:rsidRPr="00B16718">
              <w:rPr>
                <w:rFonts w:eastAsia="Times New Roman"/>
                <w:lang w:eastAsia="hu-HU"/>
              </w:rPr>
              <w:t>; 202</w:t>
            </w:r>
            <w:r w:rsidR="003A1F7B" w:rsidRPr="00B16718">
              <w:rPr>
                <w:rFonts w:eastAsia="Times New Roman"/>
                <w:lang w:eastAsia="hu-HU"/>
              </w:rPr>
              <w:t>3</w:t>
            </w:r>
            <w:r w:rsidR="00D63A76" w:rsidRPr="00B16718">
              <w:rPr>
                <w:rFonts w:eastAsia="Times New Roman"/>
                <w:lang w:eastAsia="hu-HU"/>
              </w:rPr>
              <w:t>; 202</w:t>
            </w:r>
            <w:r w:rsidR="003A1F7B" w:rsidRPr="00B16718">
              <w:rPr>
                <w:rFonts w:eastAsia="Times New Roman"/>
                <w:lang w:eastAsia="hu-HU"/>
              </w:rPr>
              <w:t>4</w:t>
            </w:r>
            <w:r w:rsidRPr="00B16718">
              <w:rPr>
                <w:rFonts w:eastAsia="Times New Roman"/>
                <w:lang w:eastAsia="hu-HU"/>
              </w:rPr>
              <w:t xml:space="preserve">) éves átlagos statisztikai állományi létszáma </w:t>
            </w:r>
            <w:r w:rsidR="002B56FC" w:rsidRPr="00B16718">
              <w:rPr>
                <w:rFonts w:eastAsia="Times New Roman"/>
                <w:lang w:eastAsia="hu-HU"/>
              </w:rPr>
              <w:t xml:space="preserve">vonatkozásában </w:t>
            </w:r>
            <w:r w:rsidRPr="00B16718">
              <w:rPr>
                <w:rFonts w:eastAsia="Times New Roman"/>
                <w:lang w:eastAsia="hu-HU"/>
              </w:rPr>
              <w:t xml:space="preserve">minimum </w:t>
            </w:r>
            <w:r w:rsidR="00B16718" w:rsidRPr="00B16718">
              <w:rPr>
                <w:rFonts w:eastAsia="Times New Roman"/>
                <w:lang w:eastAsia="hu-HU"/>
              </w:rPr>
              <w:t>10</w:t>
            </w:r>
            <w:r w:rsidRPr="00B16718">
              <w:rPr>
                <w:rFonts w:eastAsia="Times New Roman"/>
                <w:lang w:eastAsia="hu-HU"/>
              </w:rPr>
              <w:t xml:space="preserve"> fő</w:t>
            </w:r>
            <w:r w:rsidR="002B56FC" w:rsidRPr="00B16718">
              <w:rPr>
                <w:rFonts w:eastAsia="Times New Roman"/>
                <w:lang w:eastAsia="hu-HU"/>
              </w:rPr>
              <w:t>vel</w:t>
            </w:r>
            <w:r w:rsidRPr="00B16718">
              <w:rPr>
                <w:rFonts w:eastAsia="Times New Roman"/>
                <w:lang w:eastAsia="hu-HU"/>
              </w:rPr>
              <w:t>.</w:t>
            </w:r>
          </w:p>
          <w:p w14:paraId="58325D07" w14:textId="77777777" w:rsidR="00E83F31" w:rsidRDefault="00E83F31" w:rsidP="0044256E">
            <w:pPr>
              <w:shd w:val="clear" w:color="auto" w:fill="FFFFFF"/>
              <w:rPr>
                <w:rFonts w:eastAsia="Times New Roman"/>
                <w:lang w:eastAsia="hu-HU"/>
              </w:rPr>
            </w:pPr>
          </w:p>
          <w:p w14:paraId="302A1032" w14:textId="28921B93" w:rsidR="00E83F31" w:rsidRPr="00356701" w:rsidRDefault="00E83F31" w:rsidP="00E83F31">
            <w:pPr>
              <w:shd w:val="clear" w:color="auto" w:fill="FFFFFF"/>
              <w:rPr>
                <w:rFonts w:eastAsia="Times New Roman"/>
                <w:lang w:eastAsia="hu-HU"/>
              </w:rPr>
            </w:pPr>
            <w:r>
              <w:rPr>
                <w:rFonts w:eastAsia="Times New Roman"/>
                <w:lang w:eastAsia="hu-HU"/>
              </w:rPr>
              <w:lastRenderedPageBreak/>
              <w:t>M/4.</w:t>
            </w:r>
            <w:r>
              <w:t xml:space="preserve"> </w:t>
            </w:r>
            <w:r>
              <w:rPr>
                <w:rFonts w:eastAsia="Times New Roman"/>
                <w:lang w:eastAsia="hu-HU"/>
              </w:rPr>
              <w:t>Alkalmatlan az Ajánlattevő,</w:t>
            </w:r>
            <w:r w:rsidRPr="00E83F31">
              <w:rPr>
                <w:rFonts w:eastAsia="Times New Roman"/>
                <w:lang w:eastAsia="hu-HU"/>
              </w:rPr>
              <w:t xml:space="preserve"> ha nem rendelkezik az ajánlattétel időpontjában érvényes, </w:t>
            </w:r>
            <w:proofErr w:type="spellStart"/>
            <w:r>
              <w:rPr>
                <w:rFonts w:eastAsia="Times New Roman"/>
                <w:lang w:eastAsia="hu-HU"/>
              </w:rPr>
              <w:t>útéíptés</w:t>
            </w:r>
            <w:proofErr w:type="spellEnd"/>
            <w:r>
              <w:rPr>
                <w:rFonts w:eastAsia="Times New Roman"/>
                <w:lang w:eastAsia="hu-HU"/>
              </w:rPr>
              <w:t xml:space="preserve"> </w:t>
            </w:r>
            <w:r w:rsidRPr="00E83F31">
              <w:rPr>
                <w:rFonts w:eastAsia="Times New Roman"/>
                <w:lang w:eastAsia="hu-HU"/>
              </w:rPr>
              <w:t>tevékenységre kiterjedő érvényes ISO 9001</w:t>
            </w:r>
            <w:r>
              <w:rPr>
                <w:rFonts w:eastAsia="Times New Roman"/>
                <w:lang w:eastAsia="hu-HU"/>
              </w:rPr>
              <w:t xml:space="preserve">, valamint ISO 14001 </w:t>
            </w:r>
            <w:r w:rsidRPr="00E83F31">
              <w:rPr>
                <w:rFonts w:eastAsia="Times New Roman"/>
                <w:lang w:eastAsia="hu-HU"/>
              </w:rPr>
              <w:t>vagy a 321/2015. (X.30.) Korm. rendelet 24. § (3)</w:t>
            </w:r>
            <w:r>
              <w:rPr>
                <w:rFonts w:eastAsia="Times New Roman"/>
                <w:lang w:eastAsia="hu-HU"/>
              </w:rPr>
              <w:t xml:space="preserve"> </w:t>
            </w:r>
            <w:r w:rsidRPr="00E83F31">
              <w:rPr>
                <w:rFonts w:eastAsia="Times New Roman"/>
                <w:lang w:eastAsia="hu-HU"/>
              </w:rPr>
              <w:t>szerinti egyenértékű egyéb tanúsítvánnyal.</w:t>
            </w:r>
          </w:p>
        </w:tc>
      </w:tr>
      <w:tr w:rsidR="00292440" w:rsidRPr="00292440" w14:paraId="79844F0B" w14:textId="77777777" w:rsidTr="004C7F8D">
        <w:tc>
          <w:tcPr>
            <w:tcW w:w="4758" w:type="dxa"/>
            <w:hideMark/>
          </w:tcPr>
          <w:p w14:paraId="418A7BD0" w14:textId="77777777" w:rsidR="004C7F8D" w:rsidRPr="002E7FD5" w:rsidRDefault="004C7F8D" w:rsidP="004C7F8D">
            <w:pPr>
              <w:ind w:right="127"/>
            </w:pPr>
          </w:p>
        </w:tc>
        <w:tc>
          <w:tcPr>
            <w:tcW w:w="5037" w:type="dxa"/>
          </w:tcPr>
          <w:p w14:paraId="78BCAEA1" w14:textId="77777777" w:rsidR="004C7F8D" w:rsidRPr="002E7FD5" w:rsidRDefault="004C7F8D" w:rsidP="004C7F8D">
            <w:pPr>
              <w:spacing w:before="120" w:after="120"/>
              <w:rPr>
                <w:rFonts w:eastAsia="Times New Roman"/>
                <w:lang w:eastAsia="hu-HU"/>
              </w:rPr>
            </w:pPr>
          </w:p>
        </w:tc>
      </w:tr>
      <w:tr w:rsidR="00292440" w:rsidRPr="00292440" w14:paraId="77418A22" w14:textId="77777777" w:rsidTr="00F31610">
        <w:tc>
          <w:tcPr>
            <w:tcW w:w="9795" w:type="dxa"/>
            <w:gridSpan w:val="2"/>
            <w:hideMark/>
          </w:tcPr>
          <w:p w14:paraId="63D9633D" w14:textId="77777777" w:rsidR="004C7F8D" w:rsidRPr="002E7FD5" w:rsidRDefault="004C7F8D" w:rsidP="004C7F8D">
            <w:pPr>
              <w:spacing w:before="120" w:after="120"/>
              <w:jc w:val="left"/>
              <w:rPr>
                <w:rFonts w:eastAsia="Times New Roman"/>
                <w:lang w:eastAsia="hu-HU"/>
              </w:rPr>
            </w:pPr>
            <w:r w:rsidRPr="002E7FD5">
              <w:rPr>
                <w:rFonts w:eastAsia="Times New Roman"/>
                <w:b/>
                <w:bCs/>
                <w:lang w:eastAsia="hu-HU"/>
              </w:rPr>
              <w:t xml:space="preserve">III.1.4) A részvételre vonatkozó objektív szabályok és kritériumok </w:t>
            </w:r>
            <w:r w:rsidRPr="002E7FD5">
              <w:rPr>
                <w:rFonts w:eastAsia="Times New Roman"/>
                <w:i/>
                <w:iCs/>
                <w:lang w:eastAsia="hu-HU"/>
              </w:rPr>
              <w:t>(közszolgáltató ajánlatkérők esetében)</w:t>
            </w:r>
          </w:p>
          <w:p w14:paraId="25C0F9F2" w14:textId="77777777" w:rsidR="004C7F8D" w:rsidRPr="002E7FD5" w:rsidRDefault="004C7F8D" w:rsidP="004C7F8D">
            <w:pPr>
              <w:spacing w:before="120" w:after="120"/>
              <w:jc w:val="left"/>
              <w:rPr>
                <w:rFonts w:eastAsia="Times New Roman"/>
                <w:lang w:eastAsia="hu-HU"/>
              </w:rPr>
            </w:pPr>
            <w:r w:rsidRPr="002E7FD5">
              <w:rPr>
                <w:rFonts w:eastAsia="Times New Roman"/>
                <w:lang w:eastAsia="hu-HU"/>
              </w:rPr>
              <w:t>A szabályok és kritériumok felsorolása, rövid ismertetése:</w:t>
            </w:r>
          </w:p>
        </w:tc>
      </w:tr>
      <w:tr w:rsidR="00292440" w:rsidRPr="00292440" w14:paraId="2A60CFB8" w14:textId="77777777" w:rsidTr="00F31610">
        <w:tc>
          <w:tcPr>
            <w:tcW w:w="9795" w:type="dxa"/>
            <w:gridSpan w:val="2"/>
            <w:hideMark/>
          </w:tcPr>
          <w:p w14:paraId="285D36A9" w14:textId="77777777" w:rsidR="004C7F8D" w:rsidRPr="002E7FD5" w:rsidRDefault="004C7F8D" w:rsidP="004C7F8D">
            <w:pPr>
              <w:spacing w:before="120" w:after="120"/>
              <w:jc w:val="left"/>
              <w:rPr>
                <w:rFonts w:eastAsia="Times New Roman"/>
                <w:lang w:eastAsia="hu-HU"/>
              </w:rPr>
            </w:pPr>
            <w:r w:rsidRPr="002E7FD5">
              <w:rPr>
                <w:rFonts w:eastAsia="Times New Roman"/>
                <w:b/>
                <w:bCs/>
                <w:lang w:eastAsia="hu-HU"/>
              </w:rPr>
              <w:t xml:space="preserve">III.1.5) Fenntartott szerződésekre vonatkozó információk </w:t>
            </w:r>
          </w:p>
          <w:p w14:paraId="1B06B20F" w14:textId="77777777" w:rsidR="004C7F8D" w:rsidRPr="002E7FD5" w:rsidRDefault="004C7F8D" w:rsidP="004C7F8D">
            <w:pPr>
              <w:spacing w:before="120" w:after="120"/>
              <w:jc w:val="left"/>
              <w:rPr>
                <w:rFonts w:eastAsia="Times New Roman"/>
                <w:lang w:eastAsia="hu-HU"/>
              </w:rPr>
            </w:pPr>
            <w:r w:rsidRPr="002E7FD5">
              <w:rPr>
                <w:rFonts w:eastAsia="Times New Roman"/>
                <w:lang w:eastAsia="hu-HU"/>
              </w:rPr>
              <w:t> A szerződés védett műhelyek és olyan gazdasági szereplők számára fenntartott, amelyek célja a fogyatékkal élő vagy hátrányos helyzetű személyek társadalmi és szakmai integrációja</w:t>
            </w:r>
          </w:p>
          <w:p w14:paraId="6AE9B9EB" w14:textId="77777777" w:rsidR="004C7F8D" w:rsidRPr="00FF33A8" w:rsidRDefault="004C7F8D" w:rsidP="004C7F8D">
            <w:pPr>
              <w:spacing w:before="120" w:after="120"/>
              <w:jc w:val="left"/>
              <w:rPr>
                <w:rFonts w:eastAsia="Times New Roman"/>
                <w:lang w:eastAsia="hu-HU"/>
              </w:rPr>
            </w:pPr>
            <w:r w:rsidRPr="00FF33A8">
              <w:rPr>
                <w:rFonts w:eastAsia="Times New Roman"/>
                <w:lang w:eastAsia="hu-HU"/>
              </w:rPr>
              <w:t> A szerződés teljesítése védett munkahely-teremtési programok keretében történik</w:t>
            </w:r>
          </w:p>
          <w:p w14:paraId="238E6FB9" w14:textId="77777777" w:rsidR="004C7F8D" w:rsidRPr="002E7FD5" w:rsidRDefault="0056408E" w:rsidP="0056408E">
            <w:pPr>
              <w:spacing w:before="120" w:after="120"/>
              <w:jc w:val="left"/>
              <w:rPr>
                <w:rFonts w:eastAsia="Times New Roman"/>
                <w:lang w:eastAsia="hu-HU"/>
              </w:rPr>
            </w:pPr>
            <w:r w:rsidRPr="00545901">
              <w:rPr>
                <w:rFonts w:eastAsia="Times New Roman"/>
                <w:lang w:eastAsia="hu-HU"/>
              </w:rPr>
              <w:t>X</w:t>
            </w:r>
            <w:r w:rsidR="00327A28" w:rsidRPr="00545901">
              <w:rPr>
                <w:rFonts w:eastAsia="Times New Roman"/>
                <w:lang w:eastAsia="hu-HU"/>
              </w:rPr>
              <w:t xml:space="preserve"> </w:t>
            </w:r>
            <w:r w:rsidR="004C7F8D" w:rsidRPr="00545901">
              <w:rPr>
                <w:rFonts w:eastAsia="Times New Roman"/>
                <w:lang w:eastAsia="hu-HU"/>
              </w:rPr>
              <w:t>A szerződés a Kbt. 114. § (11) bekezdése szerint fenntartott</w:t>
            </w:r>
          </w:p>
        </w:tc>
      </w:tr>
      <w:tr w:rsidR="00292440" w:rsidRPr="00292440" w14:paraId="66443E88" w14:textId="77777777" w:rsidTr="00F31610">
        <w:tc>
          <w:tcPr>
            <w:tcW w:w="9795" w:type="dxa"/>
            <w:gridSpan w:val="2"/>
            <w:hideMark/>
          </w:tcPr>
          <w:p w14:paraId="5F0D9292" w14:textId="77777777" w:rsidR="004C7F8D" w:rsidRPr="002E7FD5" w:rsidRDefault="004C7F8D" w:rsidP="004C7F8D">
            <w:pPr>
              <w:spacing w:before="120" w:after="120"/>
              <w:jc w:val="left"/>
              <w:rPr>
                <w:rFonts w:eastAsia="Times New Roman"/>
                <w:b/>
                <w:bCs/>
                <w:lang w:eastAsia="hu-HU"/>
              </w:rPr>
            </w:pPr>
            <w:r w:rsidRPr="00545901">
              <w:rPr>
                <w:rFonts w:eastAsia="Times New Roman"/>
                <w:b/>
                <w:bCs/>
                <w:lang w:eastAsia="hu-HU"/>
              </w:rPr>
              <w:t>III.1.6) A szerződés biztosítékai:</w:t>
            </w:r>
            <w:r w:rsidRPr="002E7FD5">
              <w:rPr>
                <w:rFonts w:eastAsia="Times New Roman"/>
                <w:b/>
                <w:bCs/>
                <w:lang w:eastAsia="hu-HU"/>
              </w:rPr>
              <w:t xml:space="preserve"> </w:t>
            </w:r>
          </w:p>
          <w:p w14:paraId="26BCC4E1" w14:textId="3E54A0C0" w:rsidR="004C7F8D" w:rsidRPr="002E7FD5" w:rsidRDefault="004C7F8D" w:rsidP="004C7F8D">
            <w:pPr>
              <w:rPr>
                <w:bCs/>
              </w:rPr>
            </w:pPr>
            <w:r w:rsidRPr="001E0F33">
              <w:rPr>
                <w:bCs/>
              </w:rPr>
              <w:t xml:space="preserve">Késedelmi kötbér (1 %/nap), meghiúsulási kötbér (20 %), jótállás </w:t>
            </w:r>
            <w:r w:rsidR="0056408E">
              <w:rPr>
                <w:bCs/>
              </w:rPr>
              <w:t>minimum 3</w:t>
            </w:r>
            <w:r w:rsidR="00B62CC3">
              <w:rPr>
                <w:bCs/>
              </w:rPr>
              <w:t>6</w:t>
            </w:r>
            <w:r w:rsidR="00E106E5" w:rsidRPr="001E0F33">
              <w:rPr>
                <w:bCs/>
              </w:rPr>
              <w:t xml:space="preserve"> hónap</w:t>
            </w:r>
            <w:r w:rsidRPr="001E0F33">
              <w:rPr>
                <w:bCs/>
              </w:rPr>
              <w:t xml:space="preserve">, jótállási biztosíték </w:t>
            </w:r>
            <w:r w:rsidR="0056408E">
              <w:rPr>
                <w:bCs/>
              </w:rPr>
              <w:t>5</w:t>
            </w:r>
            <w:r w:rsidRPr="001E0F33">
              <w:rPr>
                <w:bCs/>
              </w:rPr>
              <w:t>%</w:t>
            </w:r>
          </w:p>
          <w:p w14:paraId="32D9BD69" w14:textId="77777777" w:rsidR="004C7F8D" w:rsidRPr="002E7FD5" w:rsidRDefault="004C7F8D" w:rsidP="004C7F8D">
            <w:pPr>
              <w:rPr>
                <w:rFonts w:eastAsia="Times New Roman"/>
                <w:lang w:eastAsia="hu-HU"/>
              </w:rPr>
            </w:pPr>
            <w:r w:rsidRPr="002E7FD5">
              <w:rPr>
                <w:bCs/>
              </w:rPr>
              <w:t>A részletes feltételeket a szerződéstervezet tartalmazza.</w:t>
            </w:r>
          </w:p>
        </w:tc>
      </w:tr>
      <w:tr w:rsidR="00292440" w:rsidRPr="00292440" w14:paraId="4CA1754E" w14:textId="77777777" w:rsidTr="00F31610">
        <w:tc>
          <w:tcPr>
            <w:tcW w:w="9795" w:type="dxa"/>
            <w:gridSpan w:val="2"/>
            <w:hideMark/>
          </w:tcPr>
          <w:p w14:paraId="631FDBFE" w14:textId="77777777" w:rsidR="004C7F8D" w:rsidRPr="00545901" w:rsidRDefault="004C7F8D" w:rsidP="004C7F8D">
            <w:pPr>
              <w:spacing w:before="120" w:after="120"/>
              <w:jc w:val="left"/>
              <w:rPr>
                <w:rFonts w:eastAsia="Times New Roman"/>
                <w:b/>
                <w:bCs/>
                <w:lang w:eastAsia="hu-HU"/>
              </w:rPr>
            </w:pPr>
            <w:r w:rsidRPr="00545901">
              <w:rPr>
                <w:rFonts w:eastAsia="Times New Roman"/>
                <w:b/>
                <w:bCs/>
                <w:lang w:eastAsia="hu-HU"/>
              </w:rPr>
              <w:t>III.1.7) Az ellenszolgáltatás teljesítésének feltételei és / vagy hivatkozás a vonatkozó jogszabályi rendelkezésekre:</w:t>
            </w:r>
          </w:p>
          <w:p w14:paraId="58479163" w14:textId="58ACBE0C" w:rsidR="004C7F8D" w:rsidRPr="002E7FD5" w:rsidRDefault="004C7F8D" w:rsidP="001C5E44">
            <w:pPr>
              <w:autoSpaceDE w:val="0"/>
              <w:autoSpaceDN w:val="0"/>
              <w:adjustRightInd w:val="0"/>
              <w:rPr>
                <w:rFonts w:eastAsia="Times New Roman"/>
                <w:lang w:eastAsia="hu-HU"/>
              </w:rPr>
            </w:pPr>
            <w:r w:rsidRPr="00545901">
              <w:rPr>
                <w:rFonts w:eastAsia="DejaVuSerif"/>
                <w:lang w:eastAsia="hu-HU"/>
              </w:rPr>
              <w:t xml:space="preserve">Az Ajánlatkérő a nettó ajánlati ár </w:t>
            </w:r>
            <w:r w:rsidR="0005166D">
              <w:rPr>
                <w:rFonts w:eastAsia="DejaVuSerif"/>
                <w:lang w:eastAsia="hu-HU"/>
              </w:rPr>
              <w:t>5</w:t>
            </w:r>
            <w:r w:rsidR="004650F4" w:rsidRPr="00545901">
              <w:rPr>
                <w:rFonts w:eastAsia="DejaVuSerif"/>
                <w:lang w:eastAsia="hu-HU"/>
              </w:rPr>
              <w:t xml:space="preserve"> </w:t>
            </w:r>
            <w:r w:rsidRPr="00545901">
              <w:rPr>
                <w:rFonts w:eastAsia="DejaVuSerif"/>
                <w:lang w:eastAsia="hu-HU"/>
              </w:rPr>
              <w:t>% -</w:t>
            </w:r>
            <w:proofErr w:type="spellStart"/>
            <w:r w:rsidRPr="00545901">
              <w:rPr>
                <w:rFonts w:eastAsia="DejaVuSerif"/>
                <w:lang w:eastAsia="hu-HU"/>
              </w:rPr>
              <w:t>ának</w:t>
            </w:r>
            <w:proofErr w:type="spellEnd"/>
            <w:r w:rsidRPr="00545901">
              <w:rPr>
                <w:rFonts w:eastAsia="DejaVuSerif"/>
                <w:lang w:eastAsia="hu-HU"/>
              </w:rPr>
              <w:t xml:space="preserve"> megfelelő összegű előleget biztosít (legfeljebb, igény szerint). </w:t>
            </w:r>
            <w:r w:rsidR="004838F1" w:rsidRPr="00545901">
              <w:rPr>
                <w:lang w:eastAsia="hu-HU"/>
              </w:rPr>
              <w:t xml:space="preserve">Az ajánlatkérő a munka ellenértékét a teljesítés műszaki ellenőr által történő igazolását követően kiállított maximum </w:t>
            </w:r>
            <w:commentRangeStart w:id="2"/>
            <w:r w:rsidR="001C5E44">
              <w:rPr>
                <w:lang w:eastAsia="hu-HU"/>
              </w:rPr>
              <w:t>1</w:t>
            </w:r>
            <w:r w:rsidR="00AA3F99" w:rsidRPr="00545901">
              <w:rPr>
                <w:lang w:eastAsia="hu-HU"/>
              </w:rPr>
              <w:t xml:space="preserve"> </w:t>
            </w:r>
            <w:r w:rsidR="004838F1" w:rsidRPr="00545901">
              <w:rPr>
                <w:lang w:eastAsia="hu-HU"/>
              </w:rPr>
              <w:t>db részszámla (</w:t>
            </w:r>
            <w:r w:rsidR="001C5E44">
              <w:rPr>
                <w:lang w:eastAsia="hu-HU"/>
              </w:rPr>
              <w:t xml:space="preserve">15 </w:t>
            </w:r>
            <w:r w:rsidR="004838F1" w:rsidRPr="00545901">
              <w:rPr>
                <w:lang w:eastAsia="hu-HU"/>
              </w:rPr>
              <w:t>%-os teljesítést követően</w:t>
            </w:r>
            <w:commentRangeEnd w:id="2"/>
            <w:r w:rsidR="00F7747F">
              <w:rPr>
                <w:rStyle w:val="Jegyzethivatkozs"/>
              </w:rPr>
              <w:commentReference w:id="2"/>
            </w:r>
            <w:r w:rsidR="004838F1" w:rsidRPr="00545901">
              <w:rPr>
                <w:lang w:eastAsia="hu-HU"/>
              </w:rPr>
              <w:t>, és a végszámla ellenében, a Kbt. 135.§, a Ptk. 6:130. § (1) – (2) bekezdésének – illetve alvállalkozó igénybevétele esetén a 322/2015</w:t>
            </w:r>
            <w:r w:rsidR="004838F1" w:rsidRPr="001E0F33">
              <w:rPr>
                <w:lang w:eastAsia="hu-HU"/>
              </w:rPr>
              <w:t>. (X.30.) Korm. rendelet 32/A.§ -</w:t>
            </w:r>
            <w:proofErr w:type="spellStart"/>
            <w:r w:rsidR="004838F1" w:rsidRPr="001E0F33">
              <w:rPr>
                <w:lang w:eastAsia="hu-HU"/>
              </w:rPr>
              <w:t>nak</w:t>
            </w:r>
            <w:proofErr w:type="spellEnd"/>
            <w:r w:rsidR="004838F1" w:rsidRPr="001E0F33">
              <w:rPr>
                <w:lang w:eastAsia="hu-HU"/>
              </w:rPr>
              <w:t xml:space="preserve"> megfelelően átutalással egyenlíti ki a számla kézhezvételét követő 30 napon belül. Megrendelő pénzügyi késedelme esetén a felek a Ptk. 6:155. § szerint járnak el. Az előleg kifizetése a 322/2015. (X. 30.) Korm. rendelet 30. §-</w:t>
            </w:r>
            <w:proofErr w:type="spellStart"/>
            <w:r w:rsidR="004838F1" w:rsidRPr="001E0F33">
              <w:rPr>
                <w:lang w:eastAsia="hu-HU"/>
              </w:rPr>
              <w:t>ában</w:t>
            </w:r>
            <w:proofErr w:type="spellEnd"/>
            <w:r w:rsidR="004838F1" w:rsidRPr="001E0F33">
              <w:rPr>
                <w:lang w:eastAsia="hu-HU"/>
              </w:rPr>
              <w:t xml:space="preserve"> foglaltak szerint történik.</w:t>
            </w:r>
          </w:p>
        </w:tc>
      </w:tr>
      <w:tr w:rsidR="00292440" w:rsidRPr="00292440" w14:paraId="41ADC2DD" w14:textId="77777777" w:rsidTr="00F31610">
        <w:tc>
          <w:tcPr>
            <w:tcW w:w="9795" w:type="dxa"/>
            <w:gridSpan w:val="2"/>
            <w:hideMark/>
          </w:tcPr>
          <w:p w14:paraId="691E1237" w14:textId="77777777" w:rsidR="004C7F8D" w:rsidRPr="00292440" w:rsidRDefault="004C7F8D" w:rsidP="004C7F8D">
            <w:pPr>
              <w:spacing w:before="120" w:after="120"/>
              <w:rPr>
                <w:rFonts w:eastAsia="Times New Roman"/>
                <w:lang w:eastAsia="hu-HU"/>
              </w:rPr>
            </w:pPr>
            <w:r w:rsidRPr="00292440">
              <w:rPr>
                <w:rFonts w:eastAsia="Times New Roman"/>
                <w:b/>
                <w:bCs/>
                <w:lang w:eastAsia="hu-HU"/>
              </w:rPr>
              <w:t xml:space="preserve">III.1.8) A nyertes közös ajánlattevők által létrehozandó gazdálkodó szervezet: </w:t>
            </w:r>
            <w:r w:rsidRPr="00292440">
              <w:rPr>
                <w:rFonts w:eastAsia="Times New Roman"/>
                <w:bCs/>
                <w:lang w:eastAsia="hu-HU"/>
              </w:rPr>
              <w:t>Az ajánlatkérő nem követeli meg és nem teszi lehetővé, hogy a nyertes ajánlattevők közös gazdálkodó szervezetet (projekttársaság) hozzanak létre a szerződés teljesítésére.</w:t>
            </w:r>
            <w:r w:rsidRPr="00292440">
              <w:rPr>
                <w:rFonts w:eastAsia="Times New Roman"/>
                <w:b/>
                <w:bCs/>
                <w:lang w:eastAsia="hu-HU"/>
              </w:rPr>
              <w:t xml:space="preserve">  </w:t>
            </w:r>
          </w:p>
        </w:tc>
      </w:tr>
    </w:tbl>
    <w:p w14:paraId="42196DEE"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 xml:space="preserve">III.2) A szerződéssel kapcsolatos feltételek </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292440" w:rsidRPr="00292440" w14:paraId="34D63E29" w14:textId="77777777" w:rsidTr="00F31610">
        <w:tc>
          <w:tcPr>
            <w:tcW w:w="0" w:type="auto"/>
            <w:hideMark/>
          </w:tcPr>
          <w:p w14:paraId="649B0E8A"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III.2.1) Meghatározott szakmára (képzettségre) vonatkozó információk</w:t>
            </w:r>
            <w:r w:rsidRPr="00292440">
              <w:rPr>
                <w:rFonts w:eastAsia="Times New Roman"/>
                <w:lang w:eastAsia="hu-HU"/>
              </w:rPr>
              <w:t xml:space="preserve"> </w:t>
            </w:r>
            <w:r w:rsidRPr="00292440">
              <w:rPr>
                <w:rFonts w:eastAsia="Times New Roman"/>
                <w:i/>
                <w:iCs/>
                <w:lang w:eastAsia="hu-HU"/>
              </w:rPr>
              <w:t>(csak szolgáltatásmegrendelés esetében)</w:t>
            </w:r>
          </w:p>
          <w:p w14:paraId="2B899E20"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A szolgáltatás teljesítése egy meghatározott szakmához (képzettséghez) van kötve</w:t>
            </w:r>
          </w:p>
          <w:p w14:paraId="5983EADE" w14:textId="77777777" w:rsidR="00F31610" w:rsidRPr="00292440" w:rsidRDefault="00F31610" w:rsidP="0042537D">
            <w:pPr>
              <w:spacing w:before="120" w:after="120"/>
              <w:ind w:left="380"/>
              <w:jc w:val="left"/>
              <w:rPr>
                <w:rFonts w:eastAsia="Times New Roman"/>
                <w:lang w:eastAsia="hu-HU"/>
              </w:rPr>
            </w:pPr>
            <w:r w:rsidRPr="00292440">
              <w:rPr>
                <w:rFonts w:eastAsia="Times New Roman"/>
                <w:lang w:eastAsia="hu-HU"/>
              </w:rPr>
              <w:t>A vonatkozó törvényi, rendeleti vagy közigazgatási rendelkezésre történő hivatkozás:</w:t>
            </w:r>
          </w:p>
        </w:tc>
      </w:tr>
      <w:tr w:rsidR="00292440" w:rsidRPr="00292440" w14:paraId="2B1F24B9" w14:textId="77777777" w:rsidTr="00F31610">
        <w:tc>
          <w:tcPr>
            <w:tcW w:w="0" w:type="auto"/>
            <w:hideMark/>
          </w:tcPr>
          <w:p w14:paraId="1A1B79DF"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III.2.2) A szerződés teljesítésével kapcsolatos feltételek:</w:t>
            </w:r>
          </w:p>
        </w:tc>
      </w:tr>
      <w:tr w:rsidR="00292440" w:rsidRPr="00292440" w14:paraId="579953AD" w14:textId="77777777" w:rsidTr="00F31610">
        <w:tc>
          <w:tcPr>
            <w:tcW w:w="0" w:type="auto"/>
            <w:hideMark/>
          </w:tcPr>
          <w:p w14:paraId="64D09656"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III.2.3) A szerződés teljesítésében közreműködő személyekkel kapcsolatos információ</w:t>
            </w:r>
          </w:p>
          <w:p w14:paraId="312445DF"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Az ajánlattevőknek közölniük kell a szerződés teljesítésében közreműködő személyek nevét és szakképzettségét</w:t>
            </w:r>
          </w:p>
        </w:tc>
      </w:tr>
    </w:tbl>
    <w:p w14:paraId="06E92715" w14:textId="77777777" w:rsidR="001C5E44" w:rsidRDefault="001C5E44" w:rsidP="0042537D">
      <w:pPr>
        <w:spacing w:before="120" w:after="120"/>
        <w:jc w:val="left"/>
        <w:rPr>
          <w:rFonts w:eastAsia="Times New Roman"/>
          <w:b/>
          <w:bCs/>
          <w:lang w:eastAsia="hu-HU"/>
        </w:rPr>
      </w:pPr>
    </w:p>
    <w:p w14:paraId="302C019E" w14:textId="7603B2A4" w:rsidR="00F31610" w:rsidRPr="00292440" w:rsidRDefault="00F31610" w:rsidP="0042537D">
      <w:pPr>
        <w:spacing w:before="120" w:after="120"/>
        <w:jc w:val="left"/>
        <w:rPr>
          <w:rFonts w:eastAsia="Times New Roman"/>
          <w:lang w:eastAsia="hu-HU"/>
        </w:rPr>
      </w:pPr>
      <w:r w:rsidRPr="00292440">
        <w:rPr>
          <w:rFonts w:eastAsia="Times New Roman"/>
          <w:b/>
          <w:bCs/>
          <w:lang w:eastAsia="hu-HU"/>
        </w:rPr>
        <w:lastRenderedPageBreak/>
        <w:t>IV. szakasz: Eljárás</w:t>
      </w:r>
    </w:p>
    <w:p w14:paraId="2346E836"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IV.1)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87"/>
        <w:gridCol w:w="5008"/>
      </w:tblGrid>
      <w:tr w:rsidR="00292440" w:rsidRPr="00292440" w14:paraId="2E15B5FA" w14:textId="77777777" w:rsidTr="00F31610">
        <w:tc>
          <w:tcPr>
            <w:tcW w:w="0" w:type="auto"/>
            <w:gridSpan w:val="2"/>
            <w:hideMark/>
          </w:tcPr>
          <w:p w14:paraId="724722FA"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IV.1.1) Az eljárás fajtája</w:t>
            </w:r>
          </w:p>
        </w:tc>
      </w:tr>
      <w:tr w:rsidR="00292440" w:rsidRPr="00292440" w14:paraId="048561E1" w14:textId="77777777" w:rsidTr="00A2599A">
        <w:tc>
          <w:tcPr>
            <w:tcW w:w="4758" w:type="dxa"/>
            <w:hideMark/>
          </w:tcPr>
          <w:p w14:paraId="11F2F3B1" w14:textId="77777777" w:rsidR="00F31610" w:rsidRPr="00292440" w:rsidRDefault="00F31610" w:rsidP="0042537D">
            <w:pPr>
              <w:spacing w:before="120" w:after="120"/>
              <w:jc w:val="left"/>
              <w:rPr>
                <w:rFonts w:eastAsia="Times New Roman"/>
                <w:lang w:eastAsia="hu-HU"/>
              </w:rPr>
            </w:pPr>
            <w:r w:rsidRPr="00292440">
              <w:rPr>
                <w:rFonts w:eastAsia="Times New Roman"/>
                <w:i/>
                <w:iCs/>
                <w:lang w:eastAsia="hu-HU"/>
              </w:rPr>
              <w:t>(klasszikus ajánlatkérők esetében)</w:t>
            </w:r>
          </w:p>
          <w:p w14:paraId="307B85CC" w14:textId="77777777" w:rsidR="00F31610" w:rsidRPr="00292440" w:rsidRDefault="00A97F23" w:rsidP="0042537D">
            <w:pPr>
              <w:spacing w:before="120" w:after="120"/>
              <w:jc w:val="left"/>
              <w:rPr>
                <w:rFonts w:eastAsia="Times New Roman"/>
                <w:lang w:eastAsia="hu-HU"/>
              </w:rPr>
            </w:pPr>
            <w:r w:rsidRPr="00292440">
              <w:rPr>
                <w:rFonts w:eastAsia="Times New Roman"/>
                <w:lang w:eastAsia="hu-HU"/>
              </w:rPr>
              <w:t xml:space="preserve">X </w:t>
            </w:r>
            <w:r w:rsidR="00F31610" w:rsidRPr="00292440">
              <w:rPr>
                <w:rFonts w:eastAsia="Times New Roman"/>
                <w:lang w:eastAsia="hu-HU"/>
              </w:rPr>
              <w:t>Nyílt eljárás</w:t>
            </w:r>
          </w:p>
          <w:p w14:paraId="0DC8BB4E" w14:textId="77777777" w:rsidR="00F31610" w:rsidRPr="00292440" w:rsidRDefault="00F31610" w:rsidP="0042537D">
            <w:pPr>
              <w:spacing w:before="120" w:after="120"/>
              <w:ind w:left="180"/>
              <w:jc w:val="left"/>
              <w:rPr>
                <w:rFonts w:eastAsia="Times New Roman"/>
                <w:lang w:eastAsia="hu-HU"/>
              </w:rPr>
            </w:pPr>
            <w:r w:rsidRPr="00292440">
              <w:rPr>
                <w:rFonts w:eastAsia="Times New Roman"/>
                <w:lang w:eastAsia="hu-HU"/>
              </w:rPr>
              <w:t> Gyorsított eljárás</w:t>
            </w:r>
          </w:p>
          <w:p w14:paraId="68C64ACB" w14:textId="77777777" w:rsidR="00F31610" w:rsidRPr="00292440" w:rsidRDefault="00F31610" w:rsidP="0042537D">
            <w:pPr>
              <w:spacing w:before="120" w:after="120"/>
              <w:ind w:left="560"/>
              <w:jc w:val="left"/>
              <w:rPr>
                <w:rFonts w:eastAsia="Times New Roman"/>
                <w:lang w:eastAsia="hu-HU"/>
              </w:rPr>
            </w:pPr>
            <w:r w:rsidRPr="00292440">
              <w:rPr>
                <w:rFonts w:eastAsia="Times New Roman"/>
                <w:lang w:eastAsia="hu-HU"/>
              </w:rPr>
              <w:t>Indokolás:</w:t>
            </w:r>
          </w:p>
          <w:p w14:paraId="1A303513"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Meghívásos eljárás</w:t>
            </w:r>
          </w:p>
          <w:p w14:paraId="4670DFE3" w14:textId="77777777" w:rsidR="00F31610" w:rsidRPr="00292440" w:rsidRDefault="00F31610" w:rsidP="0042537D">
            <w:pPr>
              <w:spacing w:before="120" w:after="120"/>
              <w:ind w:left="560"/>
              <w:jc w:val="left"/>
              <w:rPr>
                <w:rFonts w:eastAsia="Times New Roman"/>
                <w:lang w:eastAsia="hu-HU"/>
              </w:rPr>
            </w:pPr>
            <w:r w:rsidRPr="00292440">
              <w:rPr>
                <w:rFonts w:eastAsia="Times New Roman"/>
                <w:lang w:eastAsia="hu-HU"/>
              </w:rPr>
              <w:t> Gyorsított eljárás</w:t>
            </w:r>
          </w:p>
          <w:p w14:paraId="7349D3F7" w14:textId="77777777" w:rsidR="00F31610" w:rsidRPr="00292440" w:rsidRDefault="00F31610" w:rsidP="0042537D">
            <w:pPr>
              <w:spacing w:before="120" w:after="120"/>
              <w:ind w:left="560"/>
              <w:jc w:val="left"/>
              <w:rPr>
                <w:rFonts w:eastAsia="Times New Roman"/>
                <w:lang w:eastAsia="hu-HU"/>
              </w:rPr>
            </w:pPr>
            <w:r w:rsidRPr="00292440">
              <w:rPr>
                <w:rFonts w:eastAsia="Times New Roman"/>
                <w:lang w:eastAsia="hu-HU"/>
              </w:rPr>
              <w:t>Indokolás:</w:t>
            </w:r>
          </w:p>
          <w:p w14:paraId="72559606"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Tárgyalásos eljárás</w:t>
            </w:r>
          </w:p>
          <w:p w14:paraId="58696894" w14:textId="77777777" w:rsidR="00F31610" w:rsidRPr="00292440" w:rsidRDefault="00F31610" w:rsidP="0042537D">
            <w:pPr>
              <w:spacing w:before="120" w:after="120"/>
              <w:ind w:left="180"/>
              <w:jc w:val="left"/>
              <w:rPr>
                <w:rFonts w:eastAsia="Times New Roman"/>
                <w:lang w:eastAsia="hu-HU"/>
              </w:rPr>
            </w:pPr>
            <w:r w:rsidRPr="00292440">
              <w:rPr>
                <w:rFonts w:eastAsia="Times New Roman"/>
                <w:lang w:eastAsia="hu-HU"/>
              </w:rPr>
              <w:t> Gyorsított eljárás</w:t>
            </w:r>
          </w:p>
          <w:p w14:paraId="5EDDCE1B" w14:textId="77777777" w:rsidR="00F31610" w:rsidRPr="00292440" w:rsidRDefault="00F31610" w:rsidP="0042537D">
            <w:pPr>
              <w:spacing w:before="120" w:after="120"/>
              <w:ind w:left="560"/>
              <w:jc w:val="left"/>
              <w:rPr>
                <w:rFonts w:eastAsia="Times New Roman"/>
                <w:lang w:eastAsia="hu-HU"/>
              </w:rPr>
            </w:pPr>
            <w:r w:rsidRPr="00292440">
              <w:rPr>
                <w:rFonts w:eastAsia="Times New Roman"/>
                <w:lang w:eastAsia="hu-HU"/>
              </w:rPr>
              <w:t>Indokolás:</w:t>
            </w:r>
          </w:p>
          <w:p w14:paraId="7E38C190"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Versenypárbeszéd</w:t>
            </w:r>
          </w:p>
          <w:p w14:paraId="6266B6C2"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Innovációs partnerség</w:t>
            </w:r>
          </w:p>
        </w:tc>
        <w:tc>
          <w:tcPr>
            <w:tcW w:w="5037" w:type="dxa"/>
            <w:hideMark/>
          </w:tcPr>
          <w:p w14:paraId="197E1DA6" w14:textId="77777777" w:rsidR="00F31610" w:rsidRPr="00292440" w:rsidRDefault="00F31610" w:rsidP="0042537D">
            <w:pPr>
              <w:spacing w:before="120" w:after="120"/>
              <w:jc w:val="left"/>
              <w:rPr>
                <w:rFonts w:eastAsia="Times New Roman"/>
                <w:lang w:eastAsia="hu-HU"/>
              </w:rPr>
            </w:pPr>
            <w:r w:rsidRPr="00292440">
              <w:rPr>
                <w:rFonts w:eastAsia="Times New Roman"/>
                <w:i/>
                <w:iCs/>
                <w:lang w:eastAsia="hu-HU"/>
              </w:rPr>
              <w:t>(közszolgáltató ajánlatkérők esetében)</w:t>
            </w:r>
          </w:p>
          <w:p w14:paraId="164435BC"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Nyílt eljárás</w:t>
            </w:r>
          </w:p>
          <w:p w14:paraId="51CE2B43"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Meghívásos eljárás</w:t>
            </w:r>
          </w:p>
          <w:p w14:paraId="6D5E8B7E"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Tárgyalásos eljárás</w:t>
            </w:r>
          </w:p>
          <w:p w14:paraId="5F1A5F07"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Versenypárbeszéd</w:t>
            </w:r>
          </w:p>
          <w:p w14:paraId="11BC6BEF"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Innovációs partnerség</w:t>
            </w:r>
          </w:p>
        </w:tc>
      </w:tr>
      <w:tr w:rsidR="00292440" w:rsidRPr="00292440" w14:paraId="6C83814D" w14:textId="77777777" w:rsidTr="00F31610">
        <w:tc>
          <w:tcPr>
            <w:tcW w:w="0" w:type="auto"/>
            <w:gridSpan w:val="2"/>
            <w:hideMark/>
          </w:tcPr>
          <w:p w14:paraId="0C08B51B"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IV.1.2) Keretmegállapodásra vagy dinamikus beszerzési rendszerre vonatkozó információk</w:t>
            </w:r>
          </w:p>
          <w:p w14:paraId="45188169"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A hirdetmény keretmegállapodás megkötésére irányul</w:t>
            </w:r>
          </w:p>
          <w:p w14:paraId="58296040" w14:textId="77777777" w:rsidR="00F31610" w:rsidRPr="00292440" w:rsidRDefault="00F31610" w:rsidP="0042537D">
            <w:pPr>
              <w:spacing w:before="120" w:after="120"/>
              <w:ind w:left="380"/>
              <w:jc w:val="left"/>
              <w:rPr>
                <w:rFonts w:eastAsia="Times New Roman"/>
                <w:lang w:eastAsia="hu-HU"/>
              </w:rPr>
            </w:pPr>
            <w:r w:rsidRPr="00292440">
              <w:rPr>
                <w:rFonts w:eastAsia="Times New Roman"/>
                <w:lang w:eastAsia="hu-HU"/>
              </w:rPr>
              <w:t> Keretmegállapodás egy ajánlattevővel</w:t>
            </w:r>
          </w:p>
          <w:p w14:paraId="465E5F8D" w14:textId="77777777" w:rsidR="00F31610" w:rsidRPr="00292440" w:rsidRDefault="00F31610" w:rsidP="0042537D">
            <w:pPr>
              <w:spacing w:before="120" w:after="120"/>
              <w:ind w:left="380"/>
              <w:jc w:val="left"/>
              <w:rPr>
                <w:rFonts w:eastAsia="Times New Roman"/>
                <w:lang w:eastAsia="hu-HU"/>
              </w:rPr>
            </w:pPr>
            <w:r w:rsidRPr="00292440">
              <w:rPr>
                <w:rFonts w:eastAsia="Times New Roman"/>
                <w:lang w:eastAsia="hu-HU"/>
              </w:rPr>
              <w:t> Keretmegállapodás több ajánlattevővel</w:t>
            </w:r>
          </w:p>
          <w:p w14:paraId="2D847812" w14:textId="77777777" w:rsidR="00F31610" w:rsidRPr="00292440" w:rsidRDefault="00F31610" w:rsidP="0042537D">
            <w:pPr>
              <w:spacing w:before="120" w:after="120"/>
              <w:ind w:left="380"/>
              <w:jc w:val="left"/>
              <w:rPr>
                <w:rFonts w:eastAsia="Times New Roman"/>
                <w:lang w:eastAsia="hu-HU"/>
              </w:rPr>
            </w:pPr>
            <w:r w:rsidRPr="00292440">
              <w:rPr>
                <w:rFonts w:eastAsia="Times New Roman"/>
                <w:lang w:eastAsia="hu-HU"/>
              </w:rPr>
              <w:t xml:space="preserve">A keretmegállapodás résztvevőinek tervezett maximális létszáma: </w:t>
            </w:r>
            <w:r w:rsidRPr="00292440">
              <w:rPr>
                <w:rFonts w:eastAsia="Times New Roman"/>
                <w:vertAlign w:val="superscript"/>
                <w:lang w:eastAsia="hu-HU"/>
              </w:rPr>
              <w:t>2</w:t>
            </w:r>
            <w:r w:rsidRPr="00292440">
              <w:rPr>
                <w:rFonts w:eastAsia="Times New Roman"/>
                <w:lang w:eastAsia="hu-HU"/>
              </w:rPr>
              <w:t xml:space="preserve"> </w:t>
            </w:r>
            <w:proofErr w:type="gramStart"/>
            <w:r w:rsidRPr="00292440">
              <w:rPr>
                <w:rFonts w:eastAsia="Times New Roman"/>
                <w:lang w:eastAsia="hu-HU"/>
              </w:rPr>
              <w:t>[ ]</w:t>
            </w:r>
            <w:proofErr w:type="gramEnd"/>
          </w:p>
          <w:p w14:paraId="4DFF07D4"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A hirdetmény dinamikus beszerzési rendszer létrehozására irányul</w:t>
            </w:r>
          </w:p>
          <w:p w14:paraId="4BDC402F" w14:textId="77777777" w:rsidR="00F31610" w:rsidRPr="00292440" w:rsidRDefault="00F31610" w:rsidP="0042537D">
            <w:pPr>
              <w:spacing w:before="120" w:after="120"/>
              <w:ind w:left="380"/>
              <w:jc w:val="left"/>
              <w:rPr>
                <w:rFonts w:eastAsia="Times New Roman"/>
                <w:lang w:eastAsia="hu-HU"/>
              </w:rPr>
            </w:pPr>
            <w:r w:rsidRPr="00292440">
              <w:rPr>
                <w:rFonts w:eastAsia="Times New Roman"/>
                <w:lang w:eastAsia="hu-HU"/>
              </w:rPr>
              <w:t> A dinamikus beszerzési rendszert további beszerzők is alkalmazhatják</w:t>
            </w:r>
          </w:p>
          <w:p w14:paraId="5B9721B1"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Keretmegállapodások esetén – klasszikus ajánlatkérők esetében a négy évet meghaladó időtartam indokolása:</w:t>
            </w:r>
          </w:p>
          <w:p w14:paraId="4FF45C3D"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Keretmegállapodások esetén – közszolgáltató</w:t>
            </w:r>
            <w:r w:rsidRPr="00292440">
              <w:rPr>
                <w:rFonts w:eastAsia="Times New Roman"/>
                <w:i/>
                <w:iCs/>
                <w:lang w:eastAsia="hu-HU"/>
              </w:rPr>
              <w:t xml:space="preserve"> </w:t>
            </w:r>
            <w:r w:rsidRPr="00292440">
              <w:rPr>
                <w:rFonts w:eastAsia="Times New Roman"/>
                <w:lang w:eastAsia="hu-HU"/>
              </w:rPr>
              <w:t>ajánlatkérők esetében a nyolc évet meghaladó időtartam indokolása:</w:t>
            </w:r>
          </w:p>
        </w:tc>
      </w:tr>
      <w:tr w:rsidR="00292440" w:rsidRPr="00292440" w14:paraId="7F469C87" w14:textId="77777777" w:rsidTr="00F31610">
        <w:tc>
          <w:tcPr>
            <w:tcW w:w="0" w:type="auto"/>
            <w:gridSpan w:val="2"/>
            <w:hideMark/>
          </w:tcPr>
          <w:p w14:paraId="0C044B74"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 xml:space="preserve">IV.1.3) A megoldások, illetve ajánlatok számának a tárgyalásos eljárás vagy a versenypárbeszéd során történő </w:t>
            </w:r>
            <w:proofErr w:type="spellStart"/>
            <w:r w:rsidRPr="00292440">
              <w:rPr>
                <w:rFonts w:eastAsia="Times New Roman"/>
                <w:b/>
                <w:bCs/>
                <w:lang w:eastAsia="hu-HU"/>
              </w:rPr>
              <w:t>csökkentesére</w:t>
            </w:r>
            <w:proofErr w:type="spellEnd"/>
            <w:r w:rsidRPr="00292440">
              <w:rPr>
                <w:rFonts w:eastAsia="Times New Roman"/>
                <w:b/>
                <w:bCs/>
                <w:lang w:eastAsia="hu-HU"/>
              </w:rPr>
              <w:t xml:space="preserve"> irányuló információ</w:t>
            </w:r>
          </w:p>
          <w:p w14:paraId="1BCF6AF3"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 Több fordulóban lebonyolítandó tárgyalások </w:t>
            </w:r>
            <w:proofErr w:type="gramStart"/>
            <w:r w:rsidRPr="00292440">
              <w:rPr>
                <w:rFonts w:eastAsia="Times New Roman"/>
                <w:lang w:eastAsia="hu-HU"/>
              </w:rPr>
              <w:t>igénybe vétele</w:t>
            </w:r>
            <w:proofErr w:type="gramEnd"/>
            <w:r w:rsidRPr="00292440">
              <w:rPr>
                <w:rFonts w:eastAsia="Times New Roman"/>
                <w:lang w:eastAsia="hu-HU"/>
              </w:rPr>
              <w:t xml:space="preserve"> annak érdekében, hogy fokozatosan csökkentsék a megvitatandó megoldások, illetve a megtárgyalandó ajánlatok számát.</w:t>
            </w:r>
          </w:p>
        </w:tc>
      </w:tr>
      <w:tr w:rsidR="00292440" w:rsidRPr="00292440" w14:paraId="29A18986" w14:textId="77777777" w:rsidTr="00F31610">
        <w:tc>
          <w:tcPr>
            <w:tcW w:w="0" w:type="auto"/>
            <w:gridSpan w:val="2"/>
            <w:hideMark/>
          </w:tcPr>
          <w:p w14:paraId="52EFE658"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IV.1.4) Információ a tárgyalásról</w:t>
            </w:r>
            <w:r w:rsidRPr="00292440">
              <w:rPr>
                <w:rFonts w:eastAsia="Times New Roman"/>
                <w:lang w:eastAsia="hu-HU"/>
              </w:rPr>
              <w:t xml:space="preserve"> </w:t>
            </w:r>
            <w:r w:rsidRPr="00292440">
              <w:rPr>
                <w:rFonts w:eastAsia="Times New Roman"/>
                <w:i/>
                <w:iCs/>
                <w:lang w:eastAsia="hu-HU"/>
              </w:rPr>
              <w:t>(klasszikus ajánlatkérők esetében; kizárólag tárgyalásos eljárás esetében)</w:t>
            </w:r>
          </w:p>
          <w:p w14:paraId="5864AF2F"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Ajánlatkérő fenntartja a jogot arra, hogy a szerződést az eredeti ajánlat alapján, tárgyalások lefolytatása nélkül ítélje oda.</w:t>
            </w:r>
          </w:p>
        </w:tc>
      </w:tr>
      <w:tr w:rsidR="00292440" w:rsidRPr="00292440" w14:paraId="0C4C0E87" w14:textId="77777777" w:rsidTr="00F31610">
        <w:tc>
          <w:tcPr>
            <w:tcW w:w="0" w:type="auto"/>
            <w:gridSpan w:val="2"/>
            <w:hideMark/>
          </w:tcPr>
          <w:p w14:paraId="35259F4A"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 xml:space="preserve">IV.1.5) Elektronikus árlejtésre vonatkozó információk </w:t>
            </w:r>
          </w:p>
          <w:p w14:paraId="7F5CA9E7"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Elektronikus árlejtést fognak alkalmazni</w:t>
            </w:r>
          </w:p>
          <w:p w14:paraId="20EF02D3"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lastRenderedPageBreak/>
              <w:t>További információk az elektronikus árlejtésről:</w:t>
            </w:r>
          </w:p>
        </w:tc>
      </w:tr>
    </w:tbl>
    <w:p w14:paraId="5CD61B85"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lastRenderedPageBreak/>
        <w:t>IV.2) Adminisztratív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292440" w:rsidRPr="00292440" w14:paraId="44066872" w14:textId="77777777" w:rsidTr="00F31610">
        <w:tc>
          <w:tcPr>
            <w:tcW w:w="0" w:type="auto"/>
            <w:hideMark/>
          </w:tcPr>
          <w:p w14:paraId="1CEAAC4A"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IV.2.1) Az adott eljárásra vonatkozó korábbi közzététel</w:t>
            </w:r>
            <w:r w:rsidRPr="00292440">
              <w:rPr>
                <w:rFonts w:eastAsia="Times New Roman"/>
                <w:lang w:eastAsia="hu-HU"/>
              </w:rPr>
              <w:t xml:space="preserve"> </w:t>
            </w:r>
          </w:p>
          <w:p w14:paraId="71E046BB" w14:textId="77777777" w:rsidR="00F31610" w:rsidRPr="00292440" w:rsidRDefault="00F31610" w:rsidP="00A97F23">
            <w:pPr>
              <w:spacing w:before="120" w:after="120"/>
              <w:jc w:val="left"/>
              <w:rPr>
                <w:rFonts w:eastAsia="Times New Roman"/>
                <w:lang w:eastAsia="hu-HU"/>
              </w:rPr>
            </w:pPr>
            <w:r w:rsidRPr="00292440">
              <w:rPr>
                <w:rFonts w:eastAsia="Times New Roman"/>
                <w:lang w:eastAsia="hu-HU"/>
              </w:rPr>
              <w:t xml:space="preserve">A hirdetmény száma a Közbeszerzési Értesítőben: </w:t>
            </w:r>
            <w:proofErr w:type="gramStart"/>
            <w:r w:rsidRPr="00292440">
              <w:rPr>
                <w:rFonts w:eastAsia="Times New Roman"/>
                <w:lang w:eastAsia="hu-HU"/>
              </w:rPr>
              <w:t>[ ]</w:t>
            </w:r>
            <w:proofErr w:type="gramEnd"/>
            <w:r w:rsidRPr="00292440">
              <w:rPr>
                <w:rFonts w:eastAsia="Times New Roman"/>
                <w:lang w:eastAsia="hu-HU"/>
              </w:rPr>
              <w:t xml:space="preserve">[ ][ ][ ][ ]/[ ][ ][ ][ ] </w:t>
            </w:r>
            <w:r w:rsidRPr="00292440">
              <w:rPr>
                <w:rFonts w:eastAsia="Times New Roman"/>
                <w:i/>
                <w:iCs/>
                <w:lang w:eastAsia="hu-HU"/>
              </w:rPr>
              <w:t>(KÉ-szám/évszám)</w:t>
            </w:r>
          </w:p>
        </w:tc>
      </w:tr>
      <w:tr w:rsidR="00292440" w:rsidRPr="00292440" w14:paraId="7DA7628A" w14:textId="77777777" w:rsidTr="00F31610">
        <w:tc>
          <w:tcPr>
            <w:tcW w:w="0" w:type="auto"/>
            <w:hideMark/>
          </w:tcPr>
          <w:p w14:paraId="44E1C8A3"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IV.2.2) Ajánlattételi vagy részvételi határidő</w:t>
            </w:r>
          </w:p>
          <w:p w14:paraId="24DAEC49" w14:textId="301BD821" w:rsidR="001F0821" w:rsidRPr="00292440" w:rsidRDefault="00F31610" w:rsidP="0056408E">
            <w:pPr>
              <w:spacing w:before="120" w:after="120"/>
              <w:jc w:val="left"/>
              <w:rPr>
                <w:rFonts w:eastAsia="Times New Roman"/>
                <w:lang w:eastAsia="hu-HU"/>
              </w:rPr>
            </w:pPr>
            <w:r w:rsidRPr="00292440">
              <w:rPr>
                <w:rFonts w:eastAsia="Times New Roman"/>
                <w:lang w:eastAsia="hu-HU"/>
              </w:rPr>
              <w:t xml:space="preserve">Dátum: </w:t>
            </w:r>
            <w:r w:rsidR="00A97F23" w:rsidRPr="00292440">
              <w:rPr>
                <w:rFonts w:eastAsia="Times New Roman"/>
                <w:i/>
                <w:iCs/>
                <w:lang w:eastAsia="hu-HU"/>
              </w:rPr>
              <w:t>20</w:t>
            </w:r>
            <w:r w:rsidR="00160567" w:rsidRPr="00292440">
              <w:rPr>
                <w:rFonts w:eastAsia="Times New Roman"/>
                <w:i/>
                <w:iCs/>
                <w:lang w:eastAsia="hu-HU"/>
              </w:rPr>
              <w:t>2</w:t>
            </w:r>
            <w:r w:rsidR="0005166D">
              <w:rPr>
                <w:rFonts w:eastAsia="Times New Roman"/>
                <w:i/>
                <w:iCs/>
                <w:lang w:eastAsia="hu-HU"/>
              </w:rPr>
              <w:t>5</w:t>
            </w:r>
            <w:r w:rsidR="00A97F23" w:rsidRPr="00292440">
              <w:rPr>
                <w:rFonts w:eastAsia="Times New Roman"/>
                <w:i/>
                <w:iCs/>
                <w:lang w:eastAsia="hu-HU"/>
              </w:rPr>
              <w:t>/</w:t>
            </w:r>
            <w:proofErr w:type="gramStart"/>
            <w:r w:rsidR="00160567" w:rsidRPr="00292440">
              <w:rPr>
                <w:rFonts w:eastAsia="Times New Roman"/>
                <w:i/>
                <w:iCs/>
                <w:lang w:eastAsia="hu-HU"/>
              </w:rPr>
              <w:t>0..</w:t>
            </w:r>
            <w:proofErr w:type="gramEnd"/>
            <w:r w:rsidR="00A97F23" w:rsidRPr="00292440">
              <w:rPr>
                <w:rFonts w:eastAsia="Times New Roman"/>
                <w:i/>
                <w:iCs/>
                <w:lang w:eastAsia="hu-HU"/>
              </w:rPr>
              <w:t>/…</w:t>
            </w:r>
            <w:r w:rsidRPr="00292440">
              <w:rPr>
                <w:rFonts w:eastAsia="Times New Roman"/>
                <w:lang w:eastAsia="hu-HU"/>
              </w:rPr>
              <w:t xml:space="preserve"> Helyi idő: </w:t>
            </w:r>
            <w:r w:rsidR="00A97F23" w:rsidRPr="00292440">
              <w:rPr>
                <w:rFonts w:eastAsia="Times New Roman"/>
                <w:i/>
                <w:iCs/>
                <w:lang w:eastAsia="hu-HU"/>
              </w:rPr>
              <w:t>1</w:t>
            </w:r>
            <w:r w:rsidR="0056408E">
              <w:rPr>
                <w:rFonts w:eastAsia="Times New Roman"/>
                <w:i/>
                <w:iCs/>
                <w:lang w:eastAsia="hu-HU"/>
              </w:rPr>
              <w:t>0</w:t>
            </w:r>
            <w:r w:rsidR="00A97F23" w:rsidRPr="00292440">
              <w:rPr>
                <w:rFonts w:eastAsia="Times New Roman"/>
                <w:i/>
                <w:iCs/>
                <w:lang w:eastAsia="hu-HU"/>
              </w:rPr>
              <w:t>:00</w:t>
            </w:r>
          </w:p>
        </w:tc>
      </w:tr>
      <w:tr w:rsidR="00292440" w:rsidRPr="00292440" w14:paraId="10C0FA7A" w14:textId="77777777" w:rsidTr="00F31610">
        <w:tc>
          <w:tcPr>
            <w:tcW w:w="0" w:type="auto"/>
            <w:hideMark/>
          </w:tcPr>
          <w:p w14:paraId="197C46EA"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 xml:space="preserve">IV.2.3) Az ajánlattételi vagy részvételi felhívás kiválasztott jelentkezők részére történő megküldésének tervezett </w:t>
            </w:r>
            <w:proofErr w:type="gramStart"/>
            <w:r w:rsidRPr="00292440">
              <w:rPr>
                <w:rFonts w:eastAsia="Times New Roman"/>
                <w:b/>
                <w:bCs/>
                <w:lang w:eastAsia="hu-HU"/>
              </w:rPr>
              <w:t>napja</w:t>
            </w:r>
            <w:r w:rsidRPr="00292440">
              <w:rPr>
                <w:rFonts w:eastAsia="Times New Roman"/>
                <w:vertAlign w:val="superscript"/>
                <w:lang w:eastAsia="hu-HU"/>
              </w:rPr>
              <w:t xml:space="preserve">  </w:t>
            </w:r>
            <w:r w:rsidRPr="00292440">
              <w:rPr>
                <w:rFonts w:eastAsia="Times New Roman"/>
                <w:i/>
                <w:iCs/>
                <w:lang w:eastAsia="hu-HU"/>
              </w:rPr>
              <w:t>(</w:t>
            </w:r>
            <w:proofErr w:type="gramEnd"/>
            <w:r w:rsidRPr="00292440">
              <w:rPr>
                <w:rFonts w:eastAsia="Times New Roman"/>
                <w:i/>
                <w:iCs/>
                <w:lang w:eastAsia="hu-HU"/>
              </w:rPr>
              <w:t>részvételi felhívás esetében)</w:t>
            </w:r>
          </w:p>
          <w:p w14:paraId="4FB93F5F"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Dátum: </w:t>
            </w:r>
            <w:r w:rsidRPr="00292440">
              <w:rPr>
                <w:rFonts w:eastAsia="Times New Roman"/>
                <w:i/>
                <w:iCs/>
                <w:lang w:eastAsia="hu-HU"/>
              </w:rPr>
              <w:t>(</w:t>
            </w:r>
            <w:proofErr w:type="spellStart"/>
            <w:r w:rsidRPr="00292440">
              <w:rPr>
                <w:rFonts w:eastAsia="Times New Roman"/>
                <w:i/>
                <w:iCs/>
                <w:lang w:eastAsia="hu-HU"/>
              </w:rPr>
              <w:t>éééé</w:t>
            </w:r>
            <w:proofErr w:type="spellEnd"/>
            <w:r w:rsidRPr="00292440">
              <w:rPr>
                <w:rFonts w:eastAsia="Times New Roman"/>
                <w:i/>
                <w:iCs/>
                <w:lang w:eastAsia="hu-HU"/>
              </w:rPr>
              <w:t>/</w:t>
            </w:r>
            <w:proofErr w:type="spellStart"/>
            <w:r w:rsidRPr="00292440">
              <w:rPr>
                <w:rFonts w:eastAsia="Times New Roman"/>
                <w:i/>
                <w:iCs/>
                <w:lang w:eastAsia="hu-HU"/>
              </w:rPr>
              <w:t>hh</w:t>
            </w:r>
            <w:proofErr w:type="spellEnd"/>
            <w:r w:rsidRPr="00292440">
              <w:rPr>
                <w:rFonts w:eastAsia="Times New Roman"/>
                <w:i/>
                <w:iCs/>
                <w:lang w:eastAsia="hu-HU"/>
              </w:rPr>
              <w:t>/</w:t>
            </w:r>
            <w:proofErr w:type="spellStart"/>
            <w:r w:rsidRPr="00292440">
              <w:rPr>
                <w:rFonts w:eastAsia="Times New Roman"/>
                <w:i/>
                <w:iCs/>
                <w:lang w:eastAsia="hu-HU"/>
              </w:rPr>
              <w:t>nn</w:t>
            </w:r>
            <w:proofErr w:type="spellEnd"/>
            <w:r w:rsidRPr="00292440">
              <w:rPr>
                <w:rFonts w:eastAsia="Times New Roman"/>
                <w:i/>
                <w:iCs/>
                <w:lang w:eastAsia="hu-HU"/>
              </w:rPr>
              <w:t>)</w:t>
            </w:r>
          </w:p>
        </w:tc>
      </w:tr>
      <w:tr w:rsidR="00292440" w:rsidRPr="00292440" w14:paraId="37B5FAE6" w14:textId="77777777" w:rsidTr="00F31610">
        <w:tc>
          <w:tcPr>
            <w:tcW w:w="0" w:type="auto"/>
            <w:hideMark/>
          </w:tcPr>
          <w:p w14:paraId="5655E16D" w14:textId="77777777" w:rsidR="00F31610" w:rsidRPr="00292440" w:rsidRDefault="00F31610" w:rsidP="00A97F23">
            <w:pPr>
              <w:spacing w:before="120" w:after="120"/>
              <w:jc w:val="left"/>
              <w:rPr>
                <w:rFonts w:eastAsia="Times New Roman"/>
                <w:lang w:eastAsia="hu-HU"/>
              </w:rPr>
            </w:pPr>
            <w:r w:rsidRPr="00292440">
              <w:rPr>
                <w:rFonts w:eastAsia="Times New Roman"/>
                <w:b/>
                <w:bCs/>
                <w:lang w:eastAsia="hu-HU"/>
              </w:rPr>
              <w:t xml:space="preserve">IV.2.4) Azok a nyelvek, amelyeken az ajánlatok vagy részvételi jelentkezések benyújthatók: </w:t>
            </w:r>
            <w:proofErr w:type="gramStart"/>
            <w:r w:rsidRPr="00292440">
              <w:rPr>
                <w:rFonts w:eastAsia="Times New Roman"/>
                <w:lang w:eastAsia="hu-HU"/>
              </w:rPr>
              <w:t xml:space="preserve">[ </w:t>
            </w:r>
            <w:r w:rsidR="00A97F23" w:rsidRPr="00292440">
              <w:rPr>
                <w:rFonts w:eastAsia="Times New Roman"/>
                <w:lang w:eastAsia="hu-HU"/>
              </w:rPr>
              <w:t>HU</w:t>
            </w:r>
            <w:proofErr w:type="gramEnd"/>
            <w:r w:rsidRPr="00292440">
              <w:rPr>
                <w:rFonts w:eastAsia="Times New Roman"/>
                <w:lang w:eastAsia="hu-HU"/>
              </w:rPr>
              <w:t xml:space="preserve">]  </w:t>
            </w:r>
          </w:p>
        </w:tc>
      </w:tr>
      <w:tr w:rsidR="00292440" w:rsidRPr="00292440" w14:paraId="43A289A3" w14:textId="77777777" w:rsidTr="00F31610">
        <w:tc>
          <w:tcPr>
            <w:tcW w:w="0" w:type="auto"/>
            <w:hideMark/>
          </w:tcPr>
          <w:p w14:paraId="5B671D66"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IV.2.5) Az ajánlati kötöttség minimális időtartama:</w:t>
            </w:r>
            <w:r w:rsidRPr="00292440">
              <w:rPr>
                <w:rFonts w:eastAsia="Times New Roman"/>
                <w:lang w:eastAsia="hu-HU"/>
              </w:rPr>
              <w:t xml:space="preserve"> </w:t>
            </w:r>
            <w:r w:rsidRPr="00292440">
              <w:rPr>
                <w:rFonts w:eastAsia="Times New Roman"/>
                <w:i/>
                <w:iCs/>
                <w:lang w:eastAsia="hu-HU"/>
              </w:rPr>
              <w:t>(ajánlati felhívás esetében)</w:t>
            </w:r>
          </w:p>
          <w:p w14:paraId="1DDFB5B6"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Az ajánlati kötöttség végső dátuma: </w:t>
            </w:r>
            <w:r w:rsidRPr="00292440">
              <w:rPr>
                <w:rFonts w:eastAsia="Times New Roman"/>
                <w:i/>
                <w:iCs/>
                <w:lang w:eastAsia="hu-HU"/>
              </w:rPr>
              <w:t>(</w:t>
            </w:r>
            <w:proofErr w:type="spellStart"/>
            <w:r w:rsidRPr="00292440">
              <w:rPr>
                <w:rFonts w:eastAsia="Times New Roman"/>
                <w:i/>
                <w:iCs/>
                <w:lang w:eastAsia="hu-HU"/>
              </w:rPr>
              <w:t>éééé</w:t>
            </w:r>
            <w:proofErr w:type="spellEnd"/>
            <w:r w:rsidRPr="00292440">
              <w:rPr>
                <w:rFonts w:eastAsia="Times New Roman"/>
                <w:i/>
                <w:iCs/>
                <w:lang w:eastAsia="hu-HU"/>
              </w:rPr>
              <w:t>/</w:t>
            </w:r>
            <w:proofErr w:type="spellStart"/>
            <w:r w:rsidRPr="00292440">
              <w:rPr>
                <w:rFonts w:eastAsia="Times New Roman"/>
                <w:i/>
                <w:iCs/>
                <w:lang w:eastAsia="hu-HU"/>
              </w:rPr>
              <w:t>hh</w:t>
            </w:r>
            <w:proofErr w:type="spellEnd"/>
            <w:r w:rsidRPr="00292440">
              <w:rPr>
                <w:rFonts w:eastAsia="Times New Roman"/>
                <w:i/>
                <w:iCs/>
                <w:lang w:eastAsia="hu-HU"/>
              </w:rPr>
              <w:t>/</w:t>
            </w:r>
            <w:proofErr w:type="spellStart"/>
            <w:r w:rsidRPr="00292440">
              <w:rPr>
                <w:rFonts w:eastAsia="Times New Roman"/>
                <w:i/>
                <w:iCs/>
                <w:lang w:eastAsia="hu-HU"/>
              </w:rPr>
              <w:t>nn</w:t>
            </w:r>
            <w:proofErr w:type="spellEnd"/>
            <w:r w:rsidRPr="00292440">
              <w:rPr>
                <w:rFonts w:eastAsia="Times New Roman"/>
                <w:i/>
                <w:iCs/>
                <w:lang w:eastAsia="hu-HU"/>
              </w:rPr>
              <w:t>)</w:t>
            </w:r>
          </w:p>
          <w:p w14:paraId="2A4AD0EC"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vagy</w:t>
            </w:r>
          </w:p>
          <w:p w14:paraId="133DC45B" w14:textId="77777777" w:rsidR="00F31610" w:rsidRPr="00292440" w:rsidRDefault="00F31610" w:rsidP="00A97F23">
            <w:pPr>
              <w:spacing w:before="120" w:after="120"/>
              <w:jc w:val="left"/>
              <w:rPr>
                <w:rFonts w:eastAsia="Times New Roman"/>
                <w:lang w:eastAsia="hu-HU"/>
              </w:rPr>
            </w:pPr>
            <w:r w:rsidRPr="00292440">
              <w:rPr>
                <w:rFonts w:eastAsia="Times New Roman"/>
                <w:lang w:eastAsia="hu-HU"/>
              </w:rPr>
              <w:t xml:space="preserve">Az időtartam hónapban: </w:t>
            </w:r>
            <w:proofErr w:type="gramStart"/>
            <w:r w:rsidRPr="00292440">
              <w:rPr>
                <w:rFonts w:eastAsia="Times New Roman"/>
                <w:lang w:eastAsia="hu-HU"/>
              </w:rPr>
              <w:t>[ ]</w:t>
            </w:r>
            <w:proofErr w:type="gramEnd"/>
            <w:r w:rsidRPr="00292440">
              <w:rPr>
                <w:rFonts w:eastAsia="Times New Roman"/>
                <w:lang w:eastAsia="hu-HU"/>
              </w:rPr>
              <w:t xml:space="preserve"> vagy napban: </w:t>
            </w:r>
            <w:r w:rsidR="00086B13" w:rsidRPr="00292440">
              <w:rPr>
                <w:rFonts w:eastAsia="Times New Roman"/>
                <w:lang w:eastAsia="hu-HU"/>
              </w:rPr>
              <w:t>60</w:t>
            </w:r>
            <w:r w:rsidRPr="00292440">
              <w:rPr>
                <w:rFonts w:eastAsia="Times New Roman"/>
                <w:lang w:eastAsia="hu-HU"/>
              </w:rPr>
              <w:t xml:space="preserve"> </w:t>
            </w:r>
            <w:r w:rsidRPr="00292440">
              <w:rPr>
                <w:rFonts w:eastAsia="Times New Roman"/>
                <w:i/>
                <w:iCs/>
                <w:lang w:eastAsia="hu-HU"/>
              </w:rPr>
              <w:t>(az ajánlattételi határidő lejártától számítva)</w:t>
            </w:r>
          </w:p>
        </w:tc>
      </w:tr>
      <w:tr w:rsidR="00292440" w:rsidRPr="00292440" w14:paraId="3FC9B691" w14:textId="77777777" w:rsidTr="006010DC">
        <w:trPr>
          <w:trHeight w:val="2138"/>
        </w:trPr>
        <w:tc>
          <w:tcPr>
            <w:tcW w:w="0" w:type="auto"/>
            <w:hideMark/>
          </w:tcPr>
          <w:p w14:paraId="4D86FCFE"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IV.2.6) Az ajánlatok vagy részvételi jelentkezések felbontásának feltételei</w:t>
            </w:r>
          </w:p>
          <w:p w14:paraId="4EA480C0" w14:textId="10DAB089" w:rsidR="002D052C" w:rsidRPr="00292440" w:rsidRDefault="00F31610" w:rsidP="0042537D">
            <w:pPr>
              <w:spacing w:before="120" w:after="120"/>
              <w:jc w:val="left"/>
              <w:rPr>
                <w:rFonts w:eastAsia="Times New Roman"/>
                <w:i/>
                <w:iCs/>
                <w:lang w:eastAsia="hu-HU"/>
              </w:rPr>
            </w:pPr>
            <w:proofErr w:type="spellStart"/>
            <w:r w:rsidRPr="00292440">
              <w:rPr>
                <w:rFonts w:eastAsia="Times New Roman"/>
                <w:lang w:eastAsia="hu-HU"/>
              </w:rPr>
              <w:t>Datum</w:t>
            </w:r>
            <w:proofErr w:type="spellEnd"/>
            <w:r w:rsidRPr="00292440">
              <w:rPr>
                <w:rFonts w:eastAsia="Times New Roman"/>
                <w:lang w:eastAsia="hu-HU"/>
              </w:rPr>
              <w:t xml:space="preserve">: </w:t>
            </w:r>
            <w:r w:rsidR="00A97F23" w:rsidRPr="00292440">
              <w:rPr>
                <w:rFonts w:eastAsia="Times New Roman"/>
                <w:i/>
                <w:iCs/>
                <w:lang w:eastAsia="hu-HU"/>
              </w:rPr>
              <w:t>20</w:t>
            </w:r>
            <w:r w:rsidR="00160567" w:rsidRPr="00292440">
              <w:rPr>
                <w:rFonts w:eastAsia="Times New Roman"/>
                <w:i/>
                <w:iCs/>
                <w:lang w:eastAsia="hu-HU"/>
              </w:rPr>
              <w:t>2</w:t>
            </w:r>
            <w:r w:rsidR="0005166D">
              <w:rPr>
                <w:rFonts w:eastAsia="Times New Roman"/>
                <w:i/>
                <w:iCs/>
                <w:lang w:eastAsia="hu-HU"/>
              </w:rPr>
              <w:t>5</w:t>
            </w:r>
            <w:r w:rsidR="00A97F23" w:rsidRPr="00292440">
              <w:rPr>
                <w:rFonts w:eastAsia="Times New Roman"/>
                <w:i/>
                <w:iCs/>
                <w:lang w:eastAsia="hu-HU"/>
              </w:rPr>
              <w:t>/</w:t>
            </w:r>
            <w:proofErr w:type="gramStart"/>
            <w:r w:rsidR="00160567" w:rsidRPr="00292440">
              <w:rPr>
                <w:rFonts w:eastAsia="Times New Roman"/>
                <w:i/>
                <w:iCs/>
                <w:lang w:eastAsia="hu-HU"/>
              </w:rPr>
              <w:t>0..</w:t>
            </w:r>
            <w:proofErr w:type="gramEnd"/>
            <w:r w:rsidR="00A97F23" w:rsidRPr="00292440">
              <w:rPr>
                <w:rFonts w:eastAsia="Times New Roman"/>
                <w:i/>
                <w:iCs/>
                <w:lang w:eastAsia="hu-HU"/>
              </w:rPr>
              <w:t>/…</w:t>
            </w:r>
            <w:r w:rsidR="00A97F23" w:rsidRPr="00292440">
              <w:rPr>
                <w:rFonts w:eastAsia="Times New Roman"/>
                <w:lang w:eastAsia="hu-HU"/>
              </w:rPr>
              <w:t xml:space="preserve"> </w:t>
            </w:r>
            <w:r w:rsidRPr="00292440">
              <w:rPr>
                <w:rFonts w:eastAsia="Times New Roman"/>
                <w:lang w:eastAsia="hu-HU"/>
              </w:rPr>
              <w:t xml:space="preserve">Helyi idő: </w:t>
            </w:r>
            <w:r w:rsidR="00A97F23" w:rsidRPr="00292440">
              <w:rPr>
                <w:rFonts w:eastAsia="Times New Roman"/>
                <w:i/>
                <w:iCs/>
                <w:lang w:eastAsia="hu-HU"/>
              </w:rPr>
              <w:t>1</w:t>
            </w:r>
            <w:r w:rsidR="0056408E">
              <w:rPr>
                <w:rFonts w:eastAsia="Times New Roman"/>
                <w:i/>
                <w:iCs/>
                <w:lang w:eastAsia="hu-HU"/>
              </w:rPr>
              <w:t>2</w:t>
            </w:r>
            <w:r w:rsidR="00A97F23" w:rsidRPr="00292440">
              <w:rPr>
                <w:rFonts w:eastAsia="Times New Roman"/>
                <w:i/>
                <w:iCs/>
                <w:lang w:eastAsia="hu-HU"/>
              </w:rPr>
              <w:t>:00</w:t>
            </w:r>
            <w:r w:rsidRPr="00292440">
              <w:rPr>
                <w:rFonts w:eastAsia="Times New Roman"/>
                <w:i/>
                <w:iCs/>
                <w:lang w:eastAsia="hu-HU"/>
              </w:rPr>
              <w:t xml:space="preserve"> </w:t>
            </w:r>
          </w:p>
          <w:p w14:paraId="17EC35D8" w14:textId="77777777" w:rsidR="00D70DFF" w:rsidRPr="00292440" w:rsidRDefault="00F31610" w:rsidP="002D052C">
            <w:pPr>
              <w:rPr>
                <w:rFonts w:eastAsia="Times New Roman"/>
                <w:lang w:eastAsia="hu-HU"/>
              </w:rPr>
            </w:pPr>
            <w:r w:rsidRPr="00292440">
              <w:rPr>
                <w:rFonts w:eastAsia="Times New Roman"/>
                <w:lang w:eastAsia="hu-HU"/>
              </w:rPr>
              <w:t>Hely:</w:t>
            </w:r>
            <w:r w:rsidR="00A97F23" w:rsidRPr="00292440">
              <w:rPr>
                <w:rFonts w:eastAsia="Times New Roman"/>
                <w:lang w:eastAsia="hu-HU"/>
              </w:rPr>
              <w:t xml:space="preserve"> </w:t>
            </w:r>
          </w:p>
          <w:p w14:paraId="5BDA6F1E" w14:textId="77777777" w:rsidR="002D052C" w:rsidRPr="00292440" w:rsidRDefault="00D70DFF" w:rsidP="002D052C">
            <w:r w:rsidRPr="00292440">
              <w:t>Az ajánlatok bontása a Kbt. 68. §-</w:t>
            </w:r>
            <w:proofErr w:type="spellStart"/>
            <w:r w:rsidRPr="00292440">
              <w:t>ának</w:t>
            </w:r>
            <w:proofErr w:type="spellEnd"/>
            <w:r w:rsidRPr="00292440">
              <w:t xml:space="preserve"> (1b) bekezdése alapján az EKR-ben történik.</w:t>
            </w:r>
          </w:p>
          <w:p w14:paraId="65E5AEF5"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Információk a jogosultakról és a bontási eljárásról:</w:t>
            </w:r>
          </w:p>
          <w:p w14:paraId="3775DDC6" w14:textId="77777777" w:rsidR="002D052C" w:rsidRPr="00973BDC" w:rsidRDefault="00973BDC" w:rsidP="00973BDC">
            <w:pPr>
              <w:autoSpaceDE w:val="0"/>
              <w:autoSpaceDN w:val="0"/>
              <w:adjustRightInd w:val="0"/>
              <w:jc w:val="left"/>
            </w:pPr>
            <w:r w:rsidRPr="00973BDC">
              <w:rPr>
                <w:lang w:eastAsia="hu-HU"/>
              </w:rPr>
              <w:t>Az ajánlatok elektronikus bontásának szabályait a Kbt. 68. § (1</w:t>
            </w:r>
            <w:proofErr w:type="gramStart"/>
            <w:r w:rsidRPr="00973BDC">
              <w:rPr>
                <w:lang w:eastAsia="hu-HU"/>
              </w:rPr>
              <w:t>b)-(</w:t>
            </w:r>
            <w:proofErr w:type="gramEnd"/>
            <w:r w:rsidRPr="00973BDC">
              <w:rPr>
                <w:lang w:eastAsia="hu-HU"/>
              </w:rPr>
              <w:t>1c) bekezdése és a 424/2017. (XII. 19.) Korm. rendelet 15. §-a tartalmazza.</w:t>
            </w:r>
          </w:p>
        </w:tc>
      </w:tr>
    </w:tbl>
    <w:p w14:paraId="386DB703"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VI. szakasz: Kiegészítő információk</w:t>
      </w:r>
    </w:p>
    <w:p w14:paraId="6412BBDD"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VI.1) A közbeszerzés ismétlődő jellegére vonatkozó információk</w:t>
      </w:r>
      <w:r w:rsidRPr="00292440">
        <w:rPr>
          <w:rFonts w:eastAsia="Times New Roman"/>
          <w:lang w:eastAsia="hu-HU"/>
        </w:rPr>
        <w:t xml:space="preserve"> </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292440" w:rsidRPr="00292440" w14:paraId="54E8A29A" w14:textId="77777777" w:rsidTr="00F31610">
        <w:tc>
          <w:tcPr>
            <w:tcW w:w="0" w:type="auto"/>
            <w:hideMark/>
          </w:tcPr>
          <w:p w14:paraId="3DBDFBF4"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A közbeszerzés ismétlődő jellegű </w:t>
            </w:r>
            <w:r w:rsidRPr="00292440">
              <w:rPr>
                <w:rFonts w:eastAsia="Times New Roman"/>
                <w:lang w:eastAsia="hu-HU"/>
              </w:rPr>
              <w:t></w:t>
            </w:r>
            <w:r w:rsidR="00D70DFF" w:rsidRPr="00292440">
              <w:rPr>
                <w:rFonts w:eastAsia="Times New Roman"/>
                <w:lang w:eastAsia="hu-HU"/>
              </w:rPr>
              <w:t xml:space="preserve"> igen X</w:t>
            </w:r>
            <w:r w:rsidRPr="00292440">
              <w:rPr>
                <w:rFonts w:eastAsia="Times New Roman"/>
                <w:lang w:eastAsia="hu-HU"/>
              </w:rPr>
              <w:t xml:space="preserve"> nem</w:t>
            </w:r>
          </w:p>
          <w:p w14:paraId="3C77A458" w14:textId="77777777" w:rsidR="00F31610" w:rsidRPr="00292440" w:rsidRDefault="00F31610" w:rsidP="00D70DFF">
            <w:pPr>
              <w:spacing w:before="120" w:after="120"/>
              <w:jc w:val="left"/>
              <w:rPr>
                <w:rFonts w:eastAsia="Times New Roman"/>
                <w:lang w:eastAsia="hu-HU"/>
              </w:rPr>
            </w:pPr>
            <w:r w:rsidRPr="00292440">
              <w:rPr>
                <w:rFonts w:eastAsia="Times New Roman"/>
                <w:lang w:eastAsia="hu-HU"/>
              </w:rPr>
              <w:t xml:space="preserve">A további hirdetmények közzétételének tervezett ideje: </w:t>
            </w:r>
          </w:p>
        </w:tc>
      </w:tr>
    </w:tbl>
    <w:p w14:paraId="7BB2D797"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VI.2) Információ az elektronikus munkafolyamatokról</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292440" w:rsidRPr="00292440" w14:paraId="2623358C" w14:textId="77777777" w:rsidTr="00F31610">
        <w:tc>
          <w:tcPr>
            <w:tcW w:w="0" w:type="auto"/>
            <w:hideMark/>
          </w:tcPr>
          <w:p w14:paraId="1705C068" w14:textId="77777777" w:rsidR="00F31610" w:rsidRPr="00292440" w:rsidRDefault="00D70DFF" w:rsidP="0042537D">
            <w:pPr>
              <w:spacing w:before="120" w:after="120"/>
              <w:jc w:val="left"/>
              <w:rPr>
                <w:rFonts w:eastAsia="Times New Roman"/>
                <w:lang w:eastAsia="hu-HU"/>
              </w:rPr>
            </w:pPr>
            <w:r w:rsidRPr="00292440">
              <w:rPr>
                <w:rFonts w:eastAsia="Times New Roman"/>
                <w:lang w:eastAsia="hu-HU"/>
              </w:rPr>
              <w:t>X</w:t>
            </w:r>
            <w:r w:rsidR="00F31610" w:rsidRPr="00292440">
              <w:rPr>
                <w:rFonts w:eastAsia="Times New Roman"/>
                <w:lang w:eastAsia="hu-HU"/>
              </w:rPr>
              <w:t xml:space="preserve"> A megrendelés elektronikus úton történik</w:t>
            </w:r>
          </w:p>
          <w:p w14:paraId="52B315B2" w14:textId="77777777" w:rsidR="00F31610" w:rsidRPr="00292440" w:rsidRDefault="00D70DFF" w:rsidP="0042537D">
            <w:pPr>
              <w:spacing w:before="120" w:after="120"/>
              <w:jc w:val="left"/>
              <w:rPr>
                <w:rFonts w:eastAsia="Times New Roman"/>
                <w:lang w:eastAsia="hu-HU"/>
              </w:rPr>
            </w:pPr>
            <w:r w:rsidRPr="00292440">
              <w:rPr>
                <w:rFonts w:eastAsia="Times New Roman"/>
                <w:lang w:eastAsia="hu-HU"/>
              </w:rPr>
              <w:t>X</w:t>
            </w:r>
            <w:r w:rsidR="00F31610" w:rsidRPr="00292440">
              <w:rPr>
                <w:rFonts w:eastAsia="Times New Roman"/>
                <w:lang w:eastAsia="hu-HU"/>
              </w:rPr>
              <w:t xml:space="preserve"> Elektronikusan benyújtott számlákat elfogadnak</w:t>
            </w:r>
          </w:p>
          <w:p w14:paraId="3B54252E" w14:textId="77777777" w:rsidR="00F31610" w:rsidRPr="00292440" w:rsidRDefault="00D70DFF" w:rsidP="0042537D">
            <w:pPr>
              <w:spacing w:before="120" w:after="120"/>
              <w:jc w:val="left"/>
              <w:rPr>
                <w:rFonts w:eastAsia="Times New Roman"/>
                <w:lang w:eastAsia="hu-HU"/>
              </w:rPr>
            </w:pPr>
            <w:r w:rsidRPr="00292440">
              <w:rPr>
                <w:rFonts w:eastAsia="Times New Roman"/>
                <w:lang w:eastAsia="hu-HU"/>
              </w:rPr>
              <w:t>X</w:t>
            </w:r>
            <w:r w:rsidR="00F31610" w:rsidRPr="00292440">
              <w:rPr>
                <w:rFonts w:eastAsia="Times New Roman"/>
                <w:lang w:eastAsia="hu-HU"/>
              </w:rPr>
              <w:t xml:space="preserve"> A fizetés elektronikus úton történik</w:t>
            </w:r>
          </w:p>
        </w:tc>
      </w:tr>
    </w:tbl>
    <w:p w14:paraId="2FC9FB8D"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 xml:space="preserve">VI.3) További információk: </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292440" w:rsidRPr="00292440" w14:paraId="41A56F0E" w14:textId="77777777" w:rsidTr="00F31610">
        <w:tc>
          <w:tcPr>
            <w:tcW w:w="0" w:type="auto"/>
            <w:hideMark/>
          </w:tcPr>
          <w:p w14:paraId="72C412D5" w14:textId="77777777" w:rsidR="00F31610" w:rsidRPr="00545901" w:rsidRDefault="00F31610" w:rsidP="0042537D">
            <w:pPr>
              <w:spacing w:before="120" w:after="120"/>
              <w:jc w:val="left"/>
              <w:rPr>
                <w:rFonts w:eastAsia="Times New Roman"/>
                <w:lang w:eastAsia="hu-HU"/>
              </w:rPr>
            </w:pPr>
            <w:r w:rsidRPr="00545901">
              <w:rPr>
                <w:rFonts w:eastAsia="Times New Roman"/>
                <w:b/>
                <w:bCs/>
                <w:lang w:eastAsia="hu-HU"/>
              </w:rPr>
              <w:t>VI.3.1) Feltételes közbeszerzés</w:t>
            </w:r>
          </w:p>
          <w:p w14:paraId="67136193" w14:textId="77777777" w:rsidR="00F31610" w:rsidRPr="00545901" w:rsidRDefault="00F31610" w:rsidP="0042537D">
            <w:pPr>
              <w:spacing w:before="120" w:after="120"/>
              <w:jc w:val="left"/>
              <w:rPr>
                <w:rFonts w:eastAsia="Times New Roman"/>
                <w:lang w:eastAsia="hu-HU"/>
              </w:rPr>
            </w:pPr>
            <w:r w:rsidRPr="00545901">
              <w:rPr>
                <w:rFonts w:eastAsia="Times New Roman"/>
                <w:lang w:eastAsia="hu-HU"/>
              </w:rPr>
              <w:lastRenderedPageBreak/>
              <w:t>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p>
          <w:p w14:paraId="6D932954" w14:textId="77777777" w:rsidR="00F31610" w:rsidRPr="00292440" w:rsidRDefault="00F31610" w:rsidP="0069325F">
            <w:pPr>
              <w:autoSpaceDE w:val="0"/>
              <w:autoSpaceDN w:val="0"/>
              <w:adjustRightInd w:val="0"/>
              <w:jc w:val="left"/>
              <w:rPr>
                <w:rFonts w:eastAsia="Times New Roman"/>
                <w:lang w:eastAsia="hu-HU"/>
              </w:rPr>
            </w:pPr>
            <w:r w:rsidRPr="00545901">
              <w:rPr>
                <w:rFonts w:eastAsia="Times New Roman"/>
                <w:lang w:eastAsia="hu-HU"/>
              </w:rPr>
              <w:t>Ajánlatkérő ellenőrzési körén kívül eső, bizonytalan jövőbeli esemény meghatározása:</w:t>
            </w:r>
            <w:r w:rsidR="00086B13" w:rsidRPr="00545901">
              <w:rPr>
                <w:rFonts w:eastAsia="Times New Roman"/>
                <w:lang w:eastAsia="hu-HU"/>
              </w:rPr>
              <w:t xml:space="preserve"> </w:t>
            </w:r>
            <w:r w:rsidR="005A5FDF" w:rsidRPr="00545901">
              <w:rPr>
                <w:rFonts w:eastAsia="Times New Roman"/>
                <w:lang w:eastAsia="hu-HU"/>
              </w:rPr>
              <w:t>Ajánlatkérő felhívja a figyelmet, hogy jelen közbeszerzési eljárás feltételes, tekintettel arra, hogy a pályázatból történő finanszírozása esetlegesen többletforrás igény megindításával vagy önerő biztosításával [Kbt. 53. § (5)-(6) bekezdése] történik.</w:t>
            </w:r>
          </w:p>
        </w:tc>
      </w:tr>
      <w:tr w:rsidR="00292440" w:rsidRPr="00292440" w14:paraId="1626BF71" w14:textId="77777777" w:rsidTr="007E3B6B">
        <w:trPr>
          <w:trHeight w:val="2066"/>
        </w:trPr>
        <w:tc>
          <w:tcPr>
            <w:tcW w:w="0" w:type="auto"/>
            <w:hideMark/>
          </w:tcPr>
          <w:p w14:paraId="02A24987" w14:textId="77777777" w:rsidR="00F31610" w:rsidRPr="00545901" w:rsidRDefault="00F31610" w:rsidP="0042537D">
            <w:pPr>
              <w:spacing w:before="120" w:after="120"/>
              <w:jc w:val="left"/>
              <w:rPr>
                <w:rFonts w:eastAsia="Times New Roman"/>
                <w:lang w:eastAsia="hu-HU"/>
              </w:rPr>
            </w:pPr>
            <w:r w:rsidRPr="00545901">
              <w:rPr>
                <w:rFonts w:eastAsia="Times New Roman"/>
                <w:b/>
                <w:bCs/>
                <w:lang w:eastAsia="hu-HU"/>
              </w:rPr>
              <w:lastRenderedPageBreak/>
              <w:t>VI.3.2) Az ajánlati biztosíték</w:t>
            </w:r>
            <w:r w:rsidRPr="00545901">
              <w:rPr>
                <w:rFonts w:eastAsia="Times New Roman"/>
                <w:lang w:eastAsia="hu-HU"/>
              </w:rPr>
              <w:t xml:space="preserve"> </w:t>
            </w:r>
            <w:r w:rsidRPr="00545901">
              <w:rPr>
                <w:rFonts w:eastAsia="Times New Roman"/>
                <w:i/>
                <w:iCs/>
                <w:lang w:eastAsia="hu-HU"/>
              </w:rPr>
              <w:t>(ajánlati felhívás esetében)</w:t>
            </w:r>
          </w:p>
          <w:p w14:paraId="26EB6090" w14:textId="77777777" w:rsidR="00F31610" w:rsidRPr="00545901" w:rsidRDefault="00F31610" w:rsidP="0042537D">
            <w:pPr>
              <w:spacing w:before="120" w:after="120"/>
              <w:jc w:val="left"/>
              <w:rPr>
                <w:rFonts w:eastAsia="Times New Roman"/>
                <w:lang w:eastAsia="hu-HU"/>
              </w:rPr>
            </w:pPr>
            <w:r w:rsidRPr="00545901">
              <w:rPr>
                <w:rFonts w:eastAsia="Times New Roman"/>
                <w:lang w:eastAsia="hu-HU"/>
              </w:rPr>
              <w:t>Az eljárásban való részvétel ajánlati biztosíték adásához kötött.</w:t>
            </w:r>
          </w:p>
          <w:p w14:paraId="2EE447B6" w14:textId="213C4E40" w:rsidR="00EC6599" w:rsidRPr="00545901" w:rsidRDefault="00F31610" w:rsidP="0042537D">
            <w:pPr>
              <w:spacing w:before="120" w:after="120"/>
              <w:ind w:left="380"/>
              <w:jc w:val="left"/>
              <w:rPr>
                <w:rFonts w:eastAsia="Times New Roman"/>
                <w:color w:val="000000"/>
                <w:lang w:eastAsia="hu-HU"/>
              </w:rPr>
            </w:pPr>
            <w:r w:rsidRPr="00545901">
              <w:rPr>
                <w:rFonts w:eastAsia="Times New Roman"/>
                <w:lang w:eastAsia="hu-HU"/>
              </w:rPr>
              <w:t xml:space="preserve">Az ajánlati biztosíték </w:t>
            </w:r>
            <w:r w:rsidRPr="00545901">
              <w:rPr>
                <w:rFonts w:eastAsia="Times New Roman"/>
                <w:color w:val="000000"/>
                <w:lang w:eastAsia="hu-HU"/>
              </w:rPr>
              <w:t>mértéke:</w:t>
            </w:r>
            <w:r w:rsidR="007F5E24" w:rsidRPr="00545901">
              <w:rPr>
                <w:rFonts w:eastAsia="Times New Roman"/>
                <w:color w:val="000000"/>
                <w:lang w:eastAsia="hu-HU"/>
              </w:rPr>
              <w:t xml:space="preserve"> </w:t>
            </w:r>
            <w:r w:rsidR="001C5E44">
              <w:rPr>
                <w:rFonts w:eastAsia="Times New Roman"/>
                <w:color w:val="000000"/>
                <w:lang w:eastAsia="hu-HU"/>
              </w:rPr>
              <w:t>2</w:t>
            </w:r>
            <w:r w:rsidR="001C5E44" w:rsidRPr="00545901">
              <w:rPr>
                <w:rFonts w:eastAsia="Times New Roman"/>
                <w:color w:val="000000"/>
                <w:lang w:eastAsia="hu-HU"/>
              </w:rPr>
              <w:t>00.000, -</w:t>
            </w:r>
            <w:r w:rsidR="007F5E24" w:rsidRPr="00545901">
              <w:rPr>
                <w:rFonts w:eastAsia="Times New Roman"/>
                <w:color w:val="000000"/>
                <w:lang w:eastAsia="hu-HU"/>
              </w:rPr>
              <w:t xml:space="preserve"> Ft</w:t>
            </w:r>
          </w:p>
          <w:p w14:paraId="069FE1F8" w14:textId="77777777" w:rsidR="002F4BB0" w:rsidRPr="00545901" w:rsidRDefault="00F31610" w:rsidP="0042537D">
            <w:pPr>
              <w:spacing w:before="120" w:after="120"/>
              <w:ind w:left="380"/>
              <w:jc w:val="left"/>
              <w:rPr>
                <w:rFonts w:eastAsia="Times New Roman"/>
                <w:color w:val="000000"/>
                <w:lang w:eastAsia="hu-HU"/>
              </w:rPr>
            </w:pPr>
            <w:r w:rsidRPr="00545901">
              <w:rPr>
                <w:rFonts w:eastAsia="Times New Roman"/>
                <w:color w:val="000000"/>
                <w:lang w:eastAsia="hu-HU"/>
              </w:rPr>
              <w:t xml:space="preserve">A befizetés helye: </w:t>
            </w:r>
            <w:r w:rsidR="007F5E24" w:rsidRPr="00545901">
              <w:rPr>
                <w:rFonts w:eastAsia="Times New Roman"/>
                <w:color w:val="000000"/>
                <w:lang w:eastAsia="hu-HU"/>
              </w:rPr>
              <w:t>Ajánlatkérő számlája</w:t>
            </w:r>
          </w:p>
          <w:p w14:paraId="3EAC9A32" w14:textId="77777777" w:rsidR="00F31610" w:rsidRPr="0069325F" w:rsidRDefault="00F31610" w:rsidP="00F274BF">
            <w:pPr>
              <w:pStyle w:val="Default"/>
              <w:rPr>
                <w:rFonts w:eastAsia="Times New Roman"/>
              </w:rPr>
            </w:pPr>
            <w:r w:rsidRPr="00545901">
              <w:rPr>
                <w:rFonts w:ascii="Times New Roman" w:eastAsia="Times New Roman" w:hAnsi="Times New Roman" w:cs="Times New Roman"/>
              </w:rPr>
              <w:t>vagy az ajánlatkérő fizetési számlaszáma:</w:t>
            </w:r>
            <w:r w:rsidR="007C54AC" w:rsidRPr="00545901">
              <w:rPr>
                <w:rFonts w:ascii="Times New Roman" w:eastAsia="Times New Roman" w:hAnsi="Times New Roman" w:cs="Times New Roman"/>
              </w:rPr>
              <w:t xml:space="preserve"> </w:t>
            </w:r>
            <w:r w:rsidR="00FB7437" w:rsidRPr="00545901">
              <w:rPr>
                <w:rFonts w:ascii="Times New Roman" w:eastAsia="Times New Roman" w:hAnsi="Times New Roman" w:cs="Times New Roman"/>
              </w:rPr>
              <w:t>57200024</w:t>
            </w:r>
            <w:r w:rsidR="00FB7437">
              <w:rPr>
                <w:rFonts w:ascii="Times New Roman" w:eastAsia="Times New Roman" w:hAnsi="Times New Roman" w:cs="Times New Roman"/>
              </w:rPr>
              <w:t>-10019614-00000000</w:t>
            </w:r>
          </w:p>
          <w:p w14:paraId="7EA4455B" w14:textId="77777777" w:rsidR="002F4BB0" w:rsidRPr="00F274BF" w:rsidRDefault="002F4BB0" w:rsidP="00F274BF">
            <w:pPr>
              <w:pStyle w:val="Default"/>
              <w:rPr>
                <w:rFonts w:eastAsia="Times New Roman"/>
                <w:highlight w:val="yellow"/>
              </w:rPr>
            </w:pPr>
          </w:p>
          <w:p w14:paraId="7F05A20D" w14:textId="77777777" w:rsidR="00F31610" w:rsidRPr="00292440" w:rsidRDefault="00F31610" w:rsidP="007C54AC">
            <w:pPr>
              <w:autoSpaceDE w:val="0"/>
              <w:autoSpaceDN w:val="0"/>
              <w:adjustRightInd w:val="0"/>
              <w:rPr>
                <w:rFonts w:eastAsia="Times New Roman"/>
                <w:lang w:eastAsia="hu-HU"/>
              </w:rPr>
            </w:pPr>
            <w:r w:rsidRPr="004C4BA9">
              <w:rPr>
                <w:rFonts w:eastAsia="Times New Roman"/>
                <w:lang w:eastAsia="hu-HU"/>
              </w:rPr>
              <w:t>Az ajánlati biztosíték befizetése (teljesítése) igazolásának módja:</w:t>
            </w:r>
            <w:r w:rsidR="007C54AC" w:rsidRPr="004C4BA9">
              <w:rPr>
                <w:rFonts w:eastAsia="Times New Roman"/>
                <w:lang w:eastAsia="hu-HU"/>
              </w:rPr>
              <w:t xml:space="preserve"> </w:t>
            </w:r>
            <w:r w:rsidR="007F5E24" w:rsidRPr="007F5E24">
              <w:rPr>
                <w:rFonts w:eastAsia="Times New Roman"/>
                <w:lang w:eastAsia="hu-HU"/>
              </w:rPr>
              <w:t xml:space="preserve">Az ajánlati biztosíték befizetése (teljesítése) igazolásának módja: befizetés/átutalás igazolása vagy igényérvényesítést lehetővé tevő pénzügyi intézmény vagy biztosító által vállalt garancia-okirat vagy készfizető kezességet biztosító okirat, vagy biztosítási szerződés alapján kiállított készfizető kezességvállalást tartalmazó kötelezvény azzal, hogy az olyan nyilatkozatot, amely közvetlenül követelés érvényesítésének alapjául szolgál, azt úgy kell benyújtani, hogy elektronikus okiratként feleljen meg a polgári perrendtartásról szóló törvény szerinti teljes bizonyító </w:t>
            </w:r>
            <w:proofErr w:type="spellStart"/>
            <w:r w:rsidR="007F5E24" w:rsidRPr="007F5E24">
              <w:rPr>
                <w:rFonts w:eastAsia="Times New Roman"/>
                <w:lang w:eastAsia="hu-HU"/>
              </w:rPr>
              <w:t>erejű</w:t>
            </w:r>
            <w:proofErr w:type="spellEnd"/>
            <w:r w:rsidR="007F5E24" w:rsidRPr="007F5E24">
              <w:rPr>
                <w:rFonts w:eastAsia="Times New Roman"/>
                <w:lang w:eastAsia="hu-HU"/>
              </w:rPr>
              <w:t xml:space="preserve"> magánokirat követelményeinek [Kbt. 41/A.§ (2)]</w:t>
            </w:r>
          </w:p>
        </w:tc>
      </w:tr>
      <w:tr w:rsidR="00292440" w:rsidRPr="00292440" w14:paraId="78C9D8F7" w14:textId="77777777" w:rsidTr="00F31610">
        <w:tc>
          <w:tcPr>
            <w:tcW w:w="0" w:type="auto"/>
            <w:hideMark/>
          </w:tcPr>
          <w:p w14:paraId="678B091F"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VI.3.3) Konzultációra vonatkozó információk</w:t>
            </w:r>
            <w:r w:rsidR="002F4BB0">
              <w:rPr>
                <w:rFonts w:eastAsia="Times New Roman"/>
                <w:b/>
                <w:bCs/>
                <w:lang w:eastAsia="hu-HU"/>
              </w:rPr>
              <w:t xml:space="preserve"> </w:t>
            </w:r>
          </w:p>
          <w:p w14:paraId="5BE9D781"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Kiegészítő tájékoztatást ajánlatkérő konzultáció formájában is megadja.</w:t>
            </w:r>
          </w:p>
          <w:p w14:paraId="34FD699F" w14:textId="77777777" w:rsidR="00F31610" w:rsidRPr="00292440" w:rsidRDefault="00F31610" w:rsidP="0042537D">
            <w:pPr>
              <w:spacing w:before="120" w:after="120"/>
              <w:ind w:left="380"/>
              <w:jc w:val="left"/>
              <w:rPr>
                <w:rFonts w:eastAsia="Times New Roman"/>
                <w:lang w:eastAsia="hu-HU"/>
              </w:rPr>
            </w:pPr>
            <w:r w:rsidRPr="00292440">
              <w:rPr>
                <w:rFonts w:eastAsia="Times New Roman"/>
                <w:lang w:eastAsia="hu-HU"/>
              </w:rPr>
              <w:t xml:space="preserve">A konzultáció időpontja: </w:t>
            </w:r>
            <w:r w:rsidRPr="00292440">
              <w:rPr>
                <w:rFonts w:eastAsia="Times New Roman"/>
                <w:i/>
                <w:iCs/>
                <w:lang w:eastAsia="hu-HU"/>
              </w:rPr>
              <w:t>(</w:t>
            </w:r>
            <w:proofErr w:type="spellStart"/>
            <w:r w:rsidRPr="00292440">
              <w:rPr>
                <w:rFonts w:eastAsia="Times New Roman"/>
                <w:i/>
                <w:iCs/>
                <w:lang w:eastAsia="hu-HU"/>
              </w:rPr>
              <w:t>éééé</w:t>
            </w:r>
            <w:proofErr w:type="spellEnd"/>
            <w:r w:rsidRPr="00292440">
              <w:rPr>
                <w:rFonts w:eastAsia="Times New Roman"/>
                <w:i/>
                <w:iCs/>
                <w:lang w:eastAsia="hu-HU"/>
              </w:rPr>
              <w:t>/</w:t>
            </w:r>
            <w:proofErr w:type="spellStart"/>
            <w:r w:rsidRPr="00292440">
              <w:rPr>
                <w:rFonts w:eastAsia="Times New Roman"/>
                <w:i/>
                <w:iCs/>
                <w:lang w:eastAsia="hu-HU"/>
              </w:rPr>
              <w:t>hh</w:t>
            </w:r>
            <w:proofErr w:type="spellEnd"/>
            <w:r w:rsidRPr="00292440">
              <w:rPr>
                <w:rFonts w:eastAsia="Times New Roman"/>
                <w:i/>
                <w:iCs/>
                <w:lang w:eastAsia="hu-HU"/>
              </w:rPr>
              <w:t>/</w:t>
            </w:r>
            <w:proofErr w:type="spellStart"/>
            <w:r w:rsidRPr="00292440">
              <w:rPr>
                <w:rFonts w:eastAsia="Times New Roman"/>
                <w:i/>
                <w:iCs/>
                <w:lang w:eastAsia="hu-HU"/>
              </w:rPr>
              <w:t>nn</w:t>
            </w:r>
            <w:proofErr w:type="spellEnd"/>
            <w:r w:rsidRPr="00292440">
              <w:rPr>
                <w:rFonts w:eastAsia="Times New Roman"/>
                <w:i/>
                <w:iCs/>
                <w:lang w:eastAsia="hu-HU"/>
              </w:rPr>
              <w:t>)</w:t>
            </w:r>
            <w:r w:rsidRPr="00292440">
              <w:rPr>
                <w:rFonts w:eastAsia="Times New Roman"/>
                <w:lang w:eastAsia="hu-HU"/>
              </w:rPr>
              <w:t xml:space="preserve"> és helye:</w:t>
            </w:r>
          </w:p>
        </w:tc>
      </w:tr>
      <w:tr w:rsidR="00292440" w:rsidRPr="00292440" w14:paraId="43EE29CA" w14:textId="77777777" w:rsidTr="00F31610">
        <w:tc>
          <w:tcPr>
            <w:tcW w:w="0" w:type="auto"/>
            <w:hideMark/>
          </w:tcPr>
          <w:p w14:paraId="7295849F"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VI.3.4) Alvállalkozók igénybevétele</w:t>
            </w:r>
          </w:p>
          <w:p w14:paraId="6D0DC291" w14:textId="77777777" w:rsidR="00F31610" w:rsidRPr="00292440" w:rsidRDefault="004A408D" w:rsidP="0042537D">
            <w:pPr>
              <w:spacing w:before="120" w:after="120"/>
              <w:ind w:left="380" w:hanging="380"/>
              <w:jc w:val="left"/>
              <w:rPr>
                <w:rFonts w:eastAsia="Times New Roman"/>
                <w:lang w:eastAsia="hu-HU"/>
              </w:rPr>
            </w:pPr>
            <w:proofErr w:type="gramStart"/>
            <w:r w:rsidRPr="00292440">
              <w:rPr>
                <w:rFonts w:eastAsia="Times New Roman"/>
                <w:lang w:eastAsia="hu-HU"/>
              </w:rPr>
              <w:t xml:space="preserve">X </w:t>
            </w:r>
            <w:r w:rsidR="00F31610" w:rsidRPr="00292440">
              <w:rPr>
                <w:rFonts w:eastAsia="Times New Roman"/>
                <w:lang w:eastAsia="hu-HU"/>
              </w:rPr>
              <w:t xml:space="preserve"> Ajánlatkérő</w:t>
            </w:r>
            <w:proofErr w:type="gramEnd"/>
            <w:r w:rsidR="00F31610" w:rsidRPr="00292440">
              <w:rPr>
                <w:rFonts w:eastAsia="Times New Roman"/>
                <w:lang w:eastAsia="hu-HU"/>
              </w:rPr>
              <w:t xml:space="preserve"> előírja, hogy az ajánlatban (részvételi jelentkezésben) meg kell jelölni a közbeszerzésnek azt (azokat) a részét (részeit), amelynek teljesítéséhez az ajánlattevő (részvételre jelentkező) alvállalkozót kíván igénybe venni, az ezen részek tekintetében igénybe venni kívánt és az ajánlat vagy a részvételi jelentkezés benyújtásakor már ismert alvállalkozókat.</w:t>
            </w:r>
          </w:p>
        </w:tc>
      </w:tr>
      <w:tr w:rsidR="00292440" w:rsidRPr="00292440" w14:paraId="4003CEFB" w14:textId="77777777" w:rsidTr="00F31610">
        <w:tc>
          <w:tcPr>
            <w:tcW w:w="0" w:type="auto"/>
            <w:hideMark/>
          </w:tcPr>
          <w:p w14:paraId="22C600A1"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VI.3.5) Hiánypótlás elrendelése korábban nem szereplő gazdasági szereplő esetében</w:t>
            </w:r>
            <w:r w:rsidRPr="00292440">
              <w:rPr>
                <w:rFonts w:eastAsia="Times New Roman"/>
                <w:lang w:eastAsia="hu-HU"/>
              </w:rPr>
              <w:t xml:space="preserve"> </w:t>
            </w:r>
          </w:p>
          <w:p w14:paraId="2112D697"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Ajánlatban, vagy jelentkezésben korábban nem szereplő gazdasági szereplő hiánypótlással történő eljárásba bevonása esetében újabb hiánypótlás elrendelése </w:t>
            </w:r>
            <w:r w:rsidR="00C94A95" w:rsidRPr="00292440">
              <w:rPr>
                <w:rFonts w:eastAsia="Times New Roman"/>
                <w:lang w:eastAsia="hu-HU"/>
              </w:rPr>
              <w:t>X</w:t>
            </w:r>
            <w:r w:rsidRPr="00292440">
              <w:rPr>
                <w:rFonts w:eastAsia="Times New Roman"/>
                <w:lang w:eastAsia="hu-HU"/>
              </w:rPr>
              <w:t xml:space="preserve"> igen </w:t>
            </w:r>
            <w:r w:rsidRPr="00292440">
              <w:rPr>
                <w:rFonts w:eastAsia="Times New Roman"/>
                <w:lang w:eastAsia="hu-HU"/>
              </w:rPr>
              <w:t> nem</w:t>
            </w:r>
          </w:p>
          <w:p w14:paraId="6ABF17E0"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A korlátozás(ok) meghatározása újabb hiánypótlás elrendelése esetében:</w:t>
            </w:r>
          </w:p>
        </w:tc>
      </w:tr>
      <w:tr w:rsidR="00292440" w:rsidRPr="00292440" w14:paraId="7A117083" w14:textId="77777777" w:rsidTr="00F31610">
        <w:tc>
          <w:tcPr>
            <w:tcW w:w="0" w:type="auto"/>
            <w:hideMark/>
          </w:tcPr>
          <w:p w14:paraId="6D284E85"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VI.3.6) Ajánlat érvénytelenségére vonatkozó összeg ár vagy költség esetében</w:t>
            </w:r>
            <w:r w:rsidRPr="00292440">
              <w:rPr>
                <w:rFonts w:eastAsia="Times New Roman"/>
                <w:lang w:eastAsia="hu-HU"/>
              </w:rPr>
              <w:t xml:space="preserve"> </w:t>
            </w:r>
          </w:p>
          <w:p w14:paraId="3E592E44"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Ajánlatkérő az alábbi értéket meghaladó árat vagy költséget tartalmazó ajánlatot a bírálat során érvénytelenné nyilvánítja</w:t>
            </w:r>
            <w:r w:rsidRPr="00292440">
              <w:rPr>
                <w:rFonts w:eastAsia="Times New Roman"/>
                <w:vertAlign w:val="superscript"/>
                <w:lang w:eastAsia="hu-HU"/>
              </w:rPr>
              <w:t xml:space="preserve"> </w:t>
            </w:r>
          </w:p>
          <w:p w14:paraId="7E50BA8B" w14:textId="77777777" w:rsidR="00F31610" w:rsidRPr="00292440" w:rsidRDefault="00F31610" w:rsidP="00C94A95">
            <w:pPr>
              <w:spacing w:before="120" w:after="120"/>
              <w:jc w:val="left"/>
              <w:rPr>
                <w:rFonts w:eastAsia="Times New Roman"/>
                <w:lang w:eastAsia="hu-HU"/>
              </w:rPr>
            </w:pPr>
            <w:r w:rsidRPr="00292440">
              <w:rPr>
                <w:rFonts w:eastAsia="Times New Roman"/>
                <w:lang w:eastAsia="hu-HU"/>
              </w:rPr>
              <w:t xml:space="preserve">Rész száma: </w:t>
            </w:r>
            <w:proofErr w:type="gramStart"/>
            <w:r w:rsidRPr="00292440">
              <w:rPr>
                <w:rFonts w:eastAsia="Times New Roman"/>
                <w:lang w:eastAsia="hu-HU"/>
              </w:rPr>
              <w:t>[ ]</w:t>
            </w:r>
            <w:proofErr w:type="gramEnd"/>
            <w:r w:rsidRPr="00292440">
              <w:rPr>
                <w:rFonts w:eastAsia="Times New Roman"/>
                <w:lang w:eastAsia="hu-HU"/>
              </w:rPr>
              <w:t xml:space="preserve"> Érték ÁFA nélkül: [ ] Pénznem: [ ][ ][ ]</w:t>
            </w:r>
          </w:p>
        </w:tc>
      </w:tr>
      <w:tr w:rsidR="00292440" w:rsidRPr="00292440" w14:paraId="19E86B79" w14:textId="77777777" w:rsidTr="00F31610">
        <w:tc>
          <w:tcPr>
            <w:tcW w:w="0" w:type="auto"/>
            <w:hideMark/>
          </w:tcPr>
          <w:p w14:paraId="0A1641E9"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 xml:space="preserve">VI.3.7) Bármely rész </w:t>
            </w:r>
            <w:proofErr w:type="spellStart"/>
            <w:r w:rsidRPr="00292440">
              <w:rPr>
                <w:rFonts w:eastAsia="Times New Roman"/>
                <w:b/>
                <w:bCs/>
                <w:lang w:eastAsia="hu-HU"/>
              </w:rPr>
              <w:t>eredménytelensége</w:t>
            </w:r>
            <w:proofErr w:type="spellEnd"/>
            <w:r w:rsidRPr="00292440">
              <w:rPr>
                <w:rFonts w:eastAsia="Times New Roman"/>
                <w:b/>
                <w:bCs/>
                <w:lang w:eastAsia="hu-HU"/>
              </w:rPr>
              <w:t xml:space="preserve"> esetében valamennyi rész </w:t>
            </w:r>
            <w:proofErr w:type="spellStart"/>
            <w:r w:rsidRPr="00292440">
              <w:rPr>
                <w:rFonts w:eastAsia="Times New Roman"/>
                <w:b/>
                <w:bCs/>
                <w:lang w:eastAsia="hu-HU"/>
              </w:rPr>
              <w:t>eredménytelenségére</w:t>
            </w:r>
            <w:proofErr w:type="spellEnd"/>
            <w:r w:rsidRPr="00292440">
              <w:rPr>
                <w:rFonts w:eastAsia="Times New Roman"/>
                <w:b/>
                <w:bCs/>
                <w:lang w:eastAsia="hu-HU"/>
              </w:rPr>
              <w:t xml:space="preserve"> vonatkozó információ</w:t>
            </w:r>
            <w:r w:rsidRPr="00292440">
              <w:rPr>
                <w:rFonts w:eastAsia="Times New Roman"/>
                <w:lang w:eastAsia="hu-HU"/>
              </w:rPr>
              <w:t xml:space="preserve"> </w:t>
            </w:r>
          </w:p>
          <w:p w14:paraId="12EB45EA"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 Ajánlatkérő rögzíti, hogy bármely rész </w:t>
            </w:r>
            <w:proofErr w:type="spellStart"/>
            <w:r w:rsidRPr="00292440">
              <w:rPr>
                <w:rFonts w:eastAsia="Times New Roman"/>
                <w:lang w:eastAsia="hu-HU"/>
              </w:rPr>
              <w:t>eredménytelensége</w:t>
            </w:r>
            <w:proofErr w:type="spellEnd"/>
            <w:r w:rsidRPr="00292440">
              <w:rPr>
                <w:rFonts w:eastAsia="Times New Roman"/>
                <w:lang w:eastAsia="hu-HU"/>
              </w:rPr>
              <w:t xml:space="preserve"> esetén nem áll érdekében a szerződések megkötése.</w:t>
            </w:r>
          </w:p>
          <w:p w14:paraId="66E5D34F"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lastRenderedPageBreak/>
              <w:t>Valamennyi rész esetében a szerződéskötés érdekmúlásának indoka:</w:t>
            </w:r>
          </w:p>
        </w:tc>
      </w:tr>
      <w:tr w:rsidR="00292440" w:rsidRPr="00292440" w14:paraId="4D023124" w14:textId="77777777" w:rsidTr="00F31610">
        <w:tc>
          <w:tcPr>
            <w:tcW w:w="0" w:type="auto"/>
            <w:hideMark/>
          </w:tcPr>
          <w:p w14:paraId="046FB868" w14:textId="77777777" w:rsidR="00F31610" w:rsidRPr="00292440" w:rsidRDefault="00F31610" w:rsidP="00C94A95">
            <w:pPr>
              <w:spacing w:before="120" w:after="120"/>
              <w:jc w:val="left"/>
              <w:rPr>
                <w:rFonts w:eastAsia="Times New Roman"/>
                <w:lang w:eastAsia="hu-HU"/>
              </w:rPr>
            </w:pPr>
            <w:r w:rsidRPr="00292440">
              <w:rPr>
                <w:rFonts w:eastAsia="Times New Roman"/>
                <w:b/>
                <w:bCs/>
                <w:lang w:eastAsia="hu-HU"/>
              </w:rPr>
              <w:lastRenderedPageBreak/>
              <w:t>VI.3.8) Az ajánlatok értékelési szempontok szerinti tartalmi elemeinek értékelése során adható pontszám:</w:t>
            </w:r>
            <w:r w:rsidRPr="00292440">
              <w:rPr>
                <w:rFonts w:eastAsia="Times New Roman"/>
                <w:lang w:eastAsia="hu-HU"/>
              </w:rPr>
              <w:t xml:space="preserve"> </w:t>
            </w:r>
            <w:r w:rsidR="008E5851" w:rsidRPr="00292440">
              <w:rPr>
                <w:rFonts w:eastAsia="Times New Roman"/>
                <w:lang w:eastAsia="hu-HU"/>
              </w:rPr>
              <w:t>0-10</w:t>
            </w:r>
          </w:p>
        </w:tc>
      </w:tr>
      <w:tr w:rsidR="00292440" w:rsidRPr="00292440" w14:paraId="3DCBDCE0" w14:textId="77777777" w:rsidTr="00F31610">
        <w:tc>
          <w:tcPr>
            <w:tcW w:w="0" w:type="auto"/>
            <w:hideMark/>
          </w:tcPr>
          <w:p w14:paraId="6824173B" w14:textId="77777777" w:rsidR="00F31610" w:rsidRPr="00292440" w:rsidRDefault="00F31610" w:rsidP="00CB6F9E">
            <w:pPr>
              <w:spacing w:before="120" w:after="120"/>
              <w:jc w:val="left"/>
              <w:rPr>
                <w:rFonts w:eastAsia="Times New Roman"/>
                <w:bCs/>
                <w:lang w:eastAsia="hu-HU"/>
              </w:rPr>
            </w:pPr>
            <w:r w:rsidRPr="00DB3E18">
              <w:rPr>
                <w:rFonts w:eastAsia="Times New Roman"/>
                <w:b/>
                <w:bCs/>
                <w:lang w:eastAsia="hu-HU"/>
              </w:rPr>
              <w:t>VI.3.9) A módszer(</w:t>
            </w:r>
            <w:proofErr w:type="spellStart"/>
            <w:r w:rsidRPr="00DB3E18">
              <w:rPr>
                <w:rFonts w:eastAsia="Times New Roman"/>
                <w:b/>
                <w:bCs/>
                <w:lang w:eastAsia="hu-HU"/>
              </w:rPr>
              <w:t>ek</w:t>
            </w:r>
            <w:proofErr w:type="spellEnd"/>
            <w:r w:rsidRPr="00DB3E18">
              <w:rPr>
                <w:rFonts w:eastAsia="Times New Roman"/>
                <w:b/>
                <w:bCs/>
                <w:lang w:eastAsia="hu-HU"/>
              </w:rPr>
              <w:t>) meghatározása, amellyel a VI.3.8) pont szerinti ponthatárok közötti pontszámot megadásra kerül:</w:t>
            </w:r>
            <w:r w:rsidRPr="00292440">
              <w:rPr>
                <w:rFonts w:eastAsia="Times New Roman"/>
                <w:b/>
                <w:bCs/>
                <w:lang w:eastAsia="hu-HU"/>
              </w:rPr>
              <w:t xml:space="preserve"> </w:t>
            </w:r>
          </w:p>
          <w:p w14:paraId="4B9C1484" w14:textId="03AB6B6A" w:rsidR="008E5851" w:rsidRPr="00973BDC" w:rsidRDefault="00973BDC" w:rsidP="001C5E44">
            <w:pPr>
              <w:autoSpaceDE w:val="0"/>
              <w:autoSpaceDN w:val="0"/>
              <w:adjustRightInd w:val="0"/>
              <w:rPr>
                <w:iCs/>
              </w:rPr>
            </w:pPr>
            <w:r w:rsidRPr="00973BDC">
              <w:rPr>
                <w:lang w:eastAsia="hu-HU"/>
              </w:rPr>
              <w:t xml:space="preserve">AK az ajánlati ár </w:t>
            </w:r>
            <w:r w:rsidR="00356701">
              <w:rPr>
                <w:lang w:eastAsia="hu-HU"/>
              </w:rPr>
              <w:t xml:space="preserve">és a kiszállási idő </w:t>
            </w:r>
            <w:r w:rsidRPr="00973BDC">
              <w:rPr>
                <w:lang w:eastAsia="hu-HU"/>
              </w:rPr>
              <w:t>esetében a fordított arányosítás, a szakember</w:t>
            </w:r>
            <w:r w:rsidR="00487681">
              <w:rPr>
                <w:lang w:eastAsia="hu-HU"/>
              </w:rPr>
              <w:t xml:space="preserve"> szakmai többlettapasztalatára</w:t>
            </w:r>
            <w:r w:rsidR="00163AB3">
              <w:rPr>
                <w:lang w:eastAsia="hu-HU"/>
              </w:rPr>
              <w:t xml:space="preserve"> </w:t>
            </w:r>
            <w:r w:rsidR="00C46EDD">
              <w:rPr>
                <w:lang w:eastAsia="hu-HU"/>
              </w:rPr>
              <w:t xml:space="preserve">és a </w:t>
            </w:r>
            <w:r w:rsidR="00356701">
              <w:rPr>
                <w:lang w:eastAsia="hu-HU"/>
              </w:rPr>
              <w:t>hátrányos helyzetű munkavállalók alkalmazás</w:t>
            </w:r>
            <w:r w:rsidR="00940029">
              <w:rPr>
                <w:lang w:eastAsia="hu-HU"/>
              </w:rPr>
              <w:t>ára</w:t>
            </w:r>
            <w:r w:rsidR="00356701">
              <w:rPr>
                <w:lang w:eastAsia="hu-HU"/>
              </w:rPr>
              <w:t xml:space="preserve"> </w:t>
            </w:r>
            <w:r w:rsidR="00C46EDD">
              <w:rPr>
                <w:lang w:eastAsia="hu-HU"/>
              </w:rPr>
              <w:t xml:space="preserve">az </w:t>
            </w:r>
            <w:r w:rsidRPr="00973BDC">
              <w:rPr>
                <w:lang w:eastAsia="hu-HU"/>
              </w:rPr>
              <w:t>egyenes arányosítás módszer</w:t>
            </w:r>
            <w:r w:rsidR="00487681">
              <w:rPr>
                <w:lang w:eastAsia="hu-HU"/>
              </w:rPr>
              <w:t>é</w:t>
            </w:r>
            <w:r w:rsidRPr="00973BDC">
              <w:rPr>
                <w:lang w:eastAsia="hu-HU"/>
              </w:rPr>
              <w:t>t</w:t>
            </w:r>
            <w:r w:rsidR="0056408E">
              <w:rPr>
                <w:lang w:eastAsia="hu-HU"/>
              </w:rPr>
              <w:t xml:space="preserve"> </w:t>
            </w:r>
            <w:r w:rsidRPr="00973BDC">
              <w:rPr>
                <w:lang w:eastAsia="hu-HU"/>
              </w:rPr>
              <w:t>alkalmazza a dokumentációban megadott képlet szerint.</w:t>
            </w:r>
          </w:p>
        </w:tc>
      </w:tr>
      <w:tr w:rsidR="00292440" w:rsidRPr="00292440" w14:paraId="38870870" w14:textId="77777777" w:rsidTr="00F31610">
        <w:tc>
          <w:tcPr>
            <w:tcW w:w="0" w:type="auto"/>
            <w:hideMark/>
          </w:tcPr>
          <w:p w14:paraId="50E55DCF"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VI.3.10) Életciklusköltség-számítási módszer alkalmazására vonatkozó információ</w:t>
            </w:r>
          </w:p>
          <w:p w14:paraId="0A4C9F46"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Ajánlatkérő az áru, szolgáltatás vagy építési beruházás értékeléskor figyelembe vett költségét életciklusköltség-számítási módszer alkalmazásával határozza meg.</w:t>
            </w:r>
          </w:p>
        </w:tc>
      </w:tr>
      <w:tr w:rsidR="00292440" w:rsidRPr="00292440" w14:paraId="5BCA4A35" w14:textId="77777777" w:rsidTr="00F31610">
        <w:tc>
          <w:tcPr>
            <w:tcW w:w="0" w:type="auto"/>
            <w:hideMark/>
          </w:tcPr>
          <w:p w14:paraId="2F5B7985"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t xml:space="preserve">VI.3.11) A bírálatra vonatkozó további információk </w:t>
            </w:r>
            <w:r w:rsidRPr="00292440">
              <w:rPr>
                <w:rFonts w:eastAsia="Times New Roman"/>
                <w:i/>
                <w:iCs/>
                <w:lang w:eastAsia="hu-HU"/>
              </w:rPr>
              <w:t>(nyílt eljárás esetében)</w:t>
            </w:r>
          </w:p>
          <w:p w14:paraId="6351AC12" w14:textId="77777777" w:rsidR="00F31610" w:rsidRPr="00292440" w:rsidRDefault="00F31610" w:rsidP="0042537D">
            <w:pPr>
              <w:spacing w:before="120" w:after="120"/>
              <w:jc w:val="left"/>
              <w:rPr>
                <w:rFonts w:eastAsia="Times New Roman"/>
                <w:lang w:eastAsia="hu-HU"/>
              </w:rPr>
            </w:pPr>
            <w:r w:rsidRPr="00292440">
              <w:rPr>
                <w:rFonts w:eastAsia="Times New Roman"/>
                <w:lang w:eastAsia="hu-HU"/>
              </w:rPr>
              <w:t xml:space="preserve"> </w:t>
            </w:r>
            <w:r w:rsidR="00C94A95" w:rsidRPr="00292440">
              <w:rPr>
                <w:rFonts w:eastAsia="Times New Roman"/>
                <w:lang w:eastAsia="hu-HU"/>
              </w:rPr>
              <w:t xml:space="preserve">X </w:t>
            </w:r>
            <w:r w:rsidRPr="00292440">
              <w:rPr>
                <w:rFonts w:eastAsia="Times New Roman"/>
                <w:lang w:eastAsia="hu-HU"/>
              </w:rPr>
              <w:t>Ajánlatkérő a bírálatnak az aránytalanul alacsony ár vagy költség vizsgálatára vonatkozó részét az ajánlatok értékelését követően végzi el.</w:t>
            </w:r>
          </w:p>
          <w:p w14:paraId="4F4316B0" w14:textId="77777777" w:rsidR="00F31610" w:rsidRPr="00292440" w:rsidRDefault="00C94A95" w:rsidP="0042537D">
            <w:pPr>
              <w:spacing w:before="120" w:after="120"/>
              <w:jc w:val="left"/>
              <w:rPr>
                <w:rFonts w:eastAsia="Times New Roman"/>
                <w:lang w:eastAsia="hu-HU"/>
              </w:rPr>
            </w:pPr>
            <w:r w:rsidRPr="00292440">
              <w:rPr>
                <w:rFonts w:eastAsia="Times New Roman"/>
                <w:lang w:eastAsia="hu-HU"/>
              </w:rPr>
              <w:t xml:space="preserve"> X</w:t>
            </w:r>
            <w:r w:rsidR="00F31610" w:rsidRPr="00292440">
              <w:rPr>
                <w:rFonts w:eastAsia="Times New Roman"/>
                <w:lang w:eastAsia="hu-HU"/>
              </w:rPr>
              <w:t xml:space="preserve"> Ajánlatkérő az ajánlatok bírálatát – az egységes európai közbeszerzési dokumentumban foglalt nyilatkozat alapján – az ajánlatok értékelését követően végzi el.</w:t>
            </w:r>
          </w:p>
        </w:tc>
      </w:tr>
      <w:tr w:rsidR="00292440" w:rsidRPr="00292440" w14:paraId="70FF1F73" w14:textId="77777777" w:rsidTr="00F31610">
        <w:tc>
          <w:tcPr>
            <w:tcW w:w="0" w:type="auto"/>
            <w:hideMark/>
          </w:tcPr>
          <w:p w14:paraId="7A8DBF26" w14:textId="77777777" w:rsidR="00F31610" w:rsidRPr="00292440" w:rsidRDefault="00F31610" w:rsidP="0042537D">
            <w:pPr>
              <w:spacing w:before="120" w:after="120"/>
              <w:jc w:val="left"/>
              <w:rPr>
                <w:rFonts w:eastAsia="Times New Roman"/>
                <w:b/>
                <w:bCs/>
                <w:lang w:eastAsia="hu-HU"/>
              </w:rPr>
            </w:pPr>
            <w:r w:rsidRPr="00292440">
              <w:rPr>
                <w:rFonts w:eastAsia="Times New Roman"/>
                <w:b/>
                <w:bCs/>
                <w:lang w:eastAsia="hu-HU"/>
              </w:rPr>
              <w:t>VI.3.12) További információk:</w:t>
            </w:r>
          </w:p>
          <w:p w14:paraId="2AEB043A" w14:textId="77777777" w:rsidR="00160567" w:rsidRPr="00292440" w:rsidRDefault="00160567" w:rsidP="00AD374E">
            <w:pPr>
              <w:numPr>
                <w:ilvl w:val="0"/>
                <w:numId w:val="2"/>
              </w:numPr>
              <w:tabs>
                <w:tab w:val="left" w:pos="851"/>
              </w:tabs>
              <w:ind w:right="-2"/>
              <w:contextualSpacing/>
              <w:jc w:val="left"/>
              <w:rPr>
                <w:rFonts w:eastAsia="Times New Roman"/>
                <w:bCs/>
                <w:lang w:eastAsia="hu-HU"/>
              </w:rPr>
            </w:pPr>
            <w:r w:rsidRPr="00292440">
              <w:rPr>
                <w:rFonts w:eastAsia="Times New Roman"/>
                <w:lang w:eastAsia="hu-HU"/>
              </w:rPr>
              <w:t xml:space="preserve">Ajánlatkérő (AK) az eljárást Kbt. 40. § (1) bekezdés alapján a közbeszerzésekért felelős miniszter által üzemeltetett egységes, elektronikus közbeszerzési rendszerben (EKR) folytatja le. Az ajánlatokat az EKR-ben kell benyújtani, figyelemmel a Kbt. 40.§ (1) </w:t>
            </w:r>
            <w:proofErr w:type="spellStart"/>
            <w:r w:rsidRPr="00292440">
              <w:rPr>
                <w:rFonts w:eastAsia="Times New Roman"/>
                <w:lang w:eastAsia="hu-HU"/>
              </w:rPr>
              <w:t>bek</w:t>
            </w:r>
            <w:proofErr w:type="spellEnd"/>
            <w:r w:rsidRPr="00292440">
              <w:rPr>
                <w:rFonts w:eastAsia="Times New Roman"/>
                <w:lang w:eastAsia="hu-HU"/>
              </w:rPr>
              <w:t>. második mondatában foglaltakra.</w:t>
            </w:r>
            <w:r w:rsidR="00FF70EE">
              <w:rPr>
                <w:rFonts w:eastAsia="Times New Roman"/>
                <w:lang w:eastAsia="hu-HU"/>
              </w:rPr>
              <w:t xml:space="preserve"> </w:t>
            </w:r>
            <w:r w:rsidR="00FF70EE" w:rsidRPr="00587684">
              <w:t xml:space="preserve">Az ajánlatkérő az alábbiakban megadja azt a fájl formátumot, melyet használva kell az ajánlatokat benyújtani: olvasható és nem szerkeszthető </w:t>
            </w:r>
            <w:r w:rsidR="00FF70EE" w:rsidRPr="00587684">
              <w:rPr>
                <w:i/>
              </w:rPr>
              <w:t>pdf</w:t>
            </w:r>
            <w:r w:rsidR="00FF70EE" w:rsidRPr="00587684">
              <w:t xml:space="preserve"> formátum.</w:t>
            </w:r>
          </w:p>
          <w:p w14:paraId="150DDC72" w14:textId="77777777" w:rsidR="00160567" w:rsidRPr="00292440" w:rsidRDefault="00160567" w:rsidP="00AD374E">
            <w:pPr>
              <w:numPr>
                <w:ilvl w:val="0"/>
                <w:numId w:val="2"/>
              </w:numPr>
              <w:tabs>
                <w:tab w:val="left" w:pos="851"/>
              </w:tabs>
              <w:ind w:right="-2"/>
              <w:contextualSpacing/>
              <w:jc w:val="left"/>
              <w:rPr>
                <w:rFonts w:eastAsia="Times New Roman"/>
                <w:bCs/>
                <w:lang w:eastAsia="hu-HU"/>
              </w:rPr>
            </w:pPr>
            <w:r w:rsidRPr="00292440">
              <w:rPr>
                <w:rFonts w:eastAsia="Times New Roman"/>
                <w:lang w:eastAsia="hu-HU"/>
              </w:rPr>
              <w:t xml:space="preserve">A közbeszerzési dokumentáció korlátozás nélkül, </w:t>
            </w:r>
            <w:proofErr w:type="gramStart"/>
            <w:r w:rsidRPr="00292440">
              <w:rPr>
                <w:rFonts w:eastAsia="Times New Roman"/>
                <w:lang w:eastAsia="hu-HU"/>
              </w:rPr>
              <w:t>teljes körűen</w:t>
            </w:r>
            <w:proofErr w:type="gramEnd"/>
            <w:r w:rsidRPr="00292440">
              <w:rPr>
                <w:rFonts w:eastAsia="Times New Roman"/>
                <w:lang w:eastAsia="hu-HU"/>
              </w:rPr>
              <w:t xml:space="preserve">, közvetlenül és díjmentesen elérhető a következő címen: </w:t>
            </w:r>
            <w:hyperlink r:id="rId12" w:history="1">
              <w:r w:rsidRPr="00292440">
                <w:rPr>
                  <w:rFonts w:eastAsia="Times New Roman"/>
                  <w:u w:val="single"/>
                  <w:lang w:eastAsia="hu-HU"/>
                </w:rPr>
                <w:t>https://ekr.gov.hu/</w:t>
              </w:r>
            </w:hyperlink>
          </w:p>
          <w:p w14:paraId="4FCEBDCE" w14:textId="77777777" w:rsidR="00160567" w:rsidRPr="00292440" w:rsidRDefault="00160567" w:rsidP="00AD374E">
            <w:pPr>
              <w:numPr>
                <w:ilvl w:val="0"/>
                <w:numId w:val="2"/>
              </w:numPr>
              <w:tabs>
                <w:tab w:val="left" w:pos="426"/>
              </w:tabs>
              <w:ind w:right="-2"/>
              <w:contextualSpacing/>
              <w:jc w:val="left"/>
              <w:rPr>
                <w:rFonts w:eastAsia="Times New Roman"/>
                <w:bCs/>
                <w:lang w:eastAsia="hu-HU"/>
              </w:rPr>
            </w:pPr>
            <w:r w:rsidRPr="00292440">
              <w:rPr>
                <w:rFonts w:eastAsia="Times New Roman"/>
                <w:bCs/>
                <w:lang w:eastAsia="hu-HU"/>
              </w:rPr>
              <w:t xml:space="preserve">Az ajánlatban </w:t>
            </w:r>
            <w:r w:rsidR="001926E9" w:rsidRPr="00292440">
              <w:rPr>
                <w:rFonts w:eastAsia="Times New Roman"/>
                <w:bCs/>
                <w:lang w:eastAsia="hu-HU"/>
              </w:rPr>
              <w:t>be kell nyújtani</w:t>
            </w:r>
            <w:r w:rsidRPr="00292440">
              <w:rPr>
                <w:rFonts w:eastAsia="Times New Roman"/>
                <w:bCs/>
                <w:lang w:eastAsia="hu-HU"/>
              </w:rPr>
              <w:t xml:space="preserve"> a Kbt. 68. § (4) bekezdése szerinti adatokat tartalmazó – az EKR rendszerben megfelelően kitöltött – felolvasólapot.</w:t>
            </w:r>
          </w:p>
          <w:p w14:paraId="4954711C" w14:textId="77777777" w:rsidR="00160567" w:rsidRDefault="00160567" w:rsidP="00AD374E">
            <w:pPr>
              <w:numPr>
                <w:ilvl w:val="0"/>
                <w:numId w:val="2"/>
              </w:numPr>
              <w:tabs>
                <w:tab w:val="left" w:pos="426"/>
              </w:tabs>
              <w:ind w:right="-2"/>
              <w:contextualSpacing/>
              <w:jc w:val="left"/>
              <w:rPr>
                <w:rFonts w:eastAsia="Times New Roman"/>
                <w:bCs/>
                <w:lang w:eastAsia="hu-HU"/>
              </w:rPr>
            </w:pPr>
            <w:r w:rsidRPr="00292440">
              <w:rPr>
                <w:rFonts w:eastAsia="Times New Roman"/>
                <w:bCs/>
                <w:lang w:eastAsia="hu-HU"/>
              </w:rPr>
              <w:t xml:space="preserve">Az ajánlatban </w:t>
            </w:r>
            <w:r w:rsidR="001926E9" w:rsidRPr="00292440">
              <w:rPr>
                <w:rFonts w:eastAsia="Times New Roman"/>
                <w:bCs/>
                <w:lang w:eastAsia="hu-HU"/>
              </w:rPr>
              <w:t xml:space="preserve">be kell nyújtani </w:t>
            </w:r>
            <w:r w:rsidRPr="00292440">
              <w:rPr>
                <w:rFonts w:eastAsia="Times New Roman"/>
                <w:bCs/>
                <w:lang w:eastAsia="hu-HU"/>
              </w:rPr>
              <w:t xml:space="preserve">az </w:t>
            </w:r>
            <w:r w:rsidR="001926E9" w:rsidRPr="00292440">
              <w:rPr>
                <w:rFonts w:eastAsia="Times New Roman"/>
                <w:bCs/>
                <w:lang w:eastAsia="hu-HU"/>
              </w:rPr>
              <w:t>a</w:t>
            </w:r>
            <w:r w:rsidRPr="00292440">
              <w:rPr>
                <w:rFonts w:eastAsia="Times New Roman"/>
                <w:bCs/>
                <w:lang w:eastAsia="hu-HU"/>
              </w:rPr>
              <w:t xml:space="preserve">jánlattevő Kbt. 66. § (2) és (6) </w:t>
            </w:r>
            <w:proofErr w:type="spellStart"/>
            <w:r w:rsidRPr="00292440">
              <w:rPr>
                <w:rFonts w:eastAsia="Times New Roman"/>
                <w:bCs/>
                <w:lang w:eastAsia="hu-HU"/>
              </w:rPr>
              <w:t>bek</w:t>
            </w:r>
            <w:proofErr w:type="spellEnd"/>
            <w:r w:rsidRPr="00292440">
              <w:rPr>
                <w:rFonts w:eastAsia="Times New Roman"/>
                <w:bCs/>
                <w:lang w:eastAsia="hu-HU"/>
              </w:rPr>
              <w:t xml:space="preserve"> szerinti nyilatkozatait. A Kbt. 66. § (6) </w:t>
            </w:r>
            <w:proofErr w:type="spellStart"/>
            <w:r w:rsidRPr="00292440">
              <w:rPr>
                <w:rFonts w:eastAsia="Times New Roman"/>
                <w:bCs/>
                <w:lang w:eastAsia="hu-HU"/>
              </w:rPr>
              <w:t>bek</w:t>
            </w:r>
            <w:proofErr w:type="spellEnd"/>
            <w:r w:rsidRPr="00292440">
              <w:rPr>
                <w:rFonts w:eastAsia="Times New Roman"/>
                <w:bCs/>
                <w:lang w:eastAsia="hu-HU"/>
              </w:rPr>
              <w:t xml:space="preserve"> esetén a nemleges tartalmú nyilatkozatot is be kell nyújtani.</w:t>
            </w:r>
          </w:p>
          <w:p w14:paraId="359EB25F" w14:textId="580AE1AD" w:rsidR="00782539" w:rsidRPr="00782539" w:rsidRDefault="00782539" w:rsidP="00782539">
            <w:pPr>
              <w:numPr>
                <w:ilvl w:val="0"/>
                <w:numId w:val="2"/>
              </w:numPr>
              <w:tabs>
                <w:tab w:val="left" w:pos="426"/>
              </w:tabs>
              <w:ind w:right="-2"/>
              <w:contextualSpacing/>
              <w:jc w:val="left"/>
              <w:rPr>
                <w:rFonts w:eastAsia="Times New Roman"/>
                <w:bCs/>
                <w:lang w:eastAsia="hu-HU"/>
              </w:rPr>
            </w:pPr>
            <w:r w:rsidRPr="004463A8">
              <w:rPr>
                <w:rFonts w:eastAsia="Times New Roman"/>
                <w:bCs/>
                <w:lang w:eastAsia="hu-HU"/>
              </w:rPr>
              <w:t>Amennyiben ajánlattevő a teljesítéshez alvállalkozót kíván igénybe venni, úgy ajánlattevőnek meg kell jelölnie az ezen részek tekintetében igénybe venni kívánt és az ajánlat vagy a részvételi jelentkezés benyújtásakor már ismert alvállalkozókat, valamint az ajánlattevői teljesítésen belül az alvállalkozói teljesítés tervezett százalékos arányát.</w:t>
            </w:r>
          </w:p>
          <w:p w14:paraId="478420E1" w14:textId="77777777" w:rsidR="00160567" w:rsidRPr="00292440" w:rsidRDefault="00160567" w:rsidP="00AD374E">
            <w:pPr>
              <w:numPr>
                <w:ilvl w:val="0"/>
                <w:numId w:val="2"/>
              </w:numPr>
              <w:tabs>
                <w:tab w:val="left" w:pos="426"/>
              </w:tabs>
              <w:contextualSpacing/>
              <w:jc w:val="left"/>
              <w:rPr>
                <w:rFonts w:eastAsia="Times New Roman"/>
                <w:bCs/>
                <w:lang w:eastAsia="hu-HU"/>
              </w:rPr>
            </w:pPr>
            <w:r w:rsidRPr="00292440">
              <w:rPr>
                <w:rFonts w:eastAsia="Times New Roman"/>
                <w:bCs/>
                <w:lang w:eastAsia="hu-HU"/>
              </w:rPr>
              <w:t xml:space="preserve">Az ajánlatkérő alkalmazza a Kbt. 81. § </w:t>
            </w:r>
            <w:r w:rsidR="00EC6599">
              <w:rPr>
                <w:rFonts w:eastAsia="Times New Roman"/>
                <w:bCs/>
                <w:lang w:eastAsia="hu-HU"/>
              </w:rPr>
              <w:t>(4)-</w:t>
            </w:r>
            <w:r w:rsidRPr="00292440">
              <w:rPr>
                <w:rFonts w:eastAsia="Times New Roman"/>
                <w:bCs/>
                <w:lang w:eastAsia="hu-HU"/>
              </w:rPr>
              <w:t>(5) bekezdését.</w:t>
            </w:r>
          </w:p>
          <w:p w14:paraId="32EE2C2F" w14:textId="465D7AC3" w:rsidR="00160567" w:rsidRPr="00292440" w:rsidRDefault="00160567" w:rsidP="00AD374E">
            <w:pPr>
              <w:numPr>
                <w:ilvl w:val="0"/>
                <w:numId w:val="2"/>
              </w:numPr>
              <w:tabs>
                <w:tab w:val="left" w:pos="426"/>
              </w:tabs>
              <w:contextualSpacing/>
              <w:jc w:val="left"/>
              <w:rPr>
                <w:rFonts w:eastAsia="Times New Roman"/>
                <w:bCs/>
                <w:lang w:eastAsia="hu-HU"/>
              </w:rPr>
            </w:pPr>
            <w:r w:rsidRPr="00292440">
              <w:rPr>
                <w:rFonts w:eastAsia="Times New Roman"/>
                <w:bCs/>
                <w:lang w:eastAsia="hu-HU"/>
              </w:rPr>
              <w:t xml:space="preserve">Az alkalmasság feltételei és ennek igazolása a minősített ajánlattevők jegyzékéhez képest szigorúbb: III.1.3) </w:t>
            </w:r>
            <w:r w:rsidR="00782539">
              <w:rPr>
                <w:rFonts w:eastAsia="Times New Roman"/>
                <w:bCs/>
                <w:lang w:eastAsia="hu-HU"/>
              </w:rPr>
              <w:t xml:space="preserve">P.1, P.2, P.3, </w:t>
            </w:r>
            <w:r w:rsidRPr="00292440">
              <w:rPr>
                <w:rFonts w:eastAsia="Times New Roman"/>
                <w:bCs/>
                <w:lang w:eastAsia="hu-HU"/>
              </w:rPr>
              <w:t>M/1.</w:t>
            </w:r>
            <w:r w:rsidR="001E0F33">
              <w:rPr>
                <w:rFonts w:eastAsia="Times New Roman"/>
                <w:bCs/>
                <w:lang w:eastAsia="hu-HU"/>
              </w:rPr>
              <w:t xml:space="preserve"> és M/2.</w:t>
            </w:r>
            <w:r w:rsidR="00782539">
              <w:rPr>
                <w:rFonts w:eastAsia="Times New Roman"/>
                <w:bCs/>
                <w:lang w:eastAsia="hu-HU"/>
              </w:rPr>
              <w:t xml:space="preserve"> és</w:t>
            </w:r>
            <w:r w:rsidR="00A80B30">
              <w:rPr>
                <w:rFonts w:eastAsia="Times New Roman"/>
                <w:bCs/>
                <w:lang w:eastAsia="hu-HU"/>
              </w:rPr>
              <w:t xml:space="preserve"> </w:t>
            </w:r>
            <w:r w:rsidR="002B56FC">
              <w:rPr>
                <w:rFonts w:eastAsia="Times New Roman"/>
                <w:bCs/>
                <w:lang w:eastAsia="hu-HU"/>
              </w:rPr>
              <w:t>M/3.</w:t>
            </w:r>
            <w:r w:rsidR="00A80B30">
              <w:rPr>
                <w:rFonts w:eastAsia="Times New Roman"/>
                <w:bCs/>
                <w:lang w:eastAsia="hu-HU"/>
              </w:rPr>
              <w:t xml:space="preserve"> </w:t>
            </w:r>
            <w:r w:rsidRPr="00292440">
              <w:rPr>
                <w:rFonts w:eastAsia="Times New Roman"/>
                <w:bCs/>
                <w:lang w:eastAsia="hu-HU"/>
              </w:rPr>
              <w:t>pontja</w:t>
            </w:r>
            <w:r w:rsidR="00782539">
              <w:rPr>
                <w:rFonts w:eastAsia="Times New Roman"/>
                <w:bCs/>
                <w:lang w:eastAsia="hu-HU"/>
              </w:rPr>
              <w:t>i</w:t>
            </w:r>
            <w:r w:rsidRPr="00292440">
              <w:rPr>
                <w:rFonts w:eastAsia="Times New Roman"/>
                <w:bCs/>
                <w:lang w:eastAsia="hu-HU"/>
              </w:rPr>
              <w:t>.</w:t>
            </w:r>
          </w:p>
          <w:p w14:paraId="7621D5BF" w14:textId="77777777" w:rsidR="00160567" w:rsidRPr="00545901" w:rsidRDefault="00160567" w:rsidP="00AD374E">
            <w:pPr>
              <w:numPr>
                <w:ilvl w:val="0"/>
                <w:numId w:val="2"/>
              </w:numPr>
              <w:tabs>
                <w:tab w:val="left" w:pos="426"/>
              </w:tabs>
              <w:ind w:right="-2"/>
              <w:contextualSpacing/>
              <w:jc w:val="left"/>
              <w:rPr>
                <w:rFonts w:eastAsia="Times New Roman"/>
                <w:bCs/>
                <w:lang w:eastAsia="hu-HU"/>
              </w:rPr>
            </w:pPr>
            <w:r w:rsidRPr="00292440">
              <w:rPr>
                <w:rFonts w:eastAsia="Times New Roman"/>
                <w:bCs/>
                <w:lang w:eastAsia="hu-HU"/>
              </w:rPr>
              <w:t>Amennyiben az ajánlatkérő az ajánlattételi felhívásban, vagy a közbeszerzési dokumentumokban meghatározott gyártmányú, eredetű, típusú dologra hivatkozik, az ajánlatkérő azzal egyenértékűt is elfogad, tekintettel arra, hogy a megnevezés csak a tárgy jellegének egyértelmű meghatározása érdekében történt. Az egyenértékűséget az ajánlattevőnek kell ajánlatában a Kbt. és a 321/2015. (X. 30.) Korm.</w:t>
            </w:r>
            <w:r w:rsidR="009531F5" w:rsidRPr="00292440">
              <w:rPr>
                <w:rFonts w:eastAsia="Times New Roman"/>
                <w:bCs/>
                <w:lang w:eastAsia="hu-HU"/>
              </w:rPr>
              <w:t xml:space="preserve"> </w:t>
            </w:r>
            <w:r w:rsidRPr="00292440">
              <w:rPr>
                <w:rFonts w:eastAsia="Times New Roman"/>
                <w:bCs/>
                <w:lang w:eastAsia="hu-HU"/>
              </w:rPr>
              <w:t>rendelet 46. §-</w:t>
            </w:r>
            <w:proofErr w:type="spellStart"/>
            <w:r w:rsidRPr="00292440">
              <w:rPr>
                <w:rFonts w:eastAsia="Times New Roman"/>
                <w:bCs/>
                <w:lang w:eastAsia="hu-HU"/>
              </w:rPr>
              <w:t>ában</w:t>
            </w:r>
            <w:proofErr w:type="spellEnd"/>
            <w:r w:rsidRPr="00292440">
              <w:rPr>
                <w:rFonts w:eastAsia="Times New Roman"/>
                <w:bCs/>
                <w:lang w:eastAsia="hu-HU"/>
              </w:rPr>
              <w:t xml:space="preserve"> foglaltaknak megfelelően (például a megajánlott eszközök </w:t>
            </w:r>
            <w:r w:rsidRPr="00545901">
              <w:rPr>
                <w:rFonts w:eastAsia="Times New Roman"/>
                <w:bCs/>
                <w:lang w:eastAsia="hu-HU"/>
              </w:rPr>
              <w:t xml:space="preserve">műszaki leírásának ismertetésével) igazolnia. </w:t>
            </w:r>
          </w:p>
          <w:p w14:paraId="0B11F5F4" w14:textId="77777777" w:rsidR="00160567" w:rsidRPr="00545901" w:rsidRDefault="00160567" w:rsidP="00AD374E">
            <w:pPr>
              <w:numPr>
                <w:ilvl w:val="0"/>
                <w:numId w:val="2"/>
              </w:numPr>
              <w:contextualSpacing/>
              <w:jc w:val="left"/>
              <w:rPr>
                <w:rFonts w:eastAsia="Times New Roman"/>
                <w:lang w:eastAsia="hu-HU"/>
              </w:rPr>
            </w:pPr>
            <w:r w:rsidRPr="00545901">
              <w:rPr>
                <w:rFonts w:eastAsia="Times New Roman"/>
                <w:lang w:eastAsia="hu-HU"/>
              </w:rPr>
              <w:t xml:space="preserve">Az ajánlatkérő alkalmazza a Kbt. 75. § (2) bekezdésének e) pontja szerinti eredménytelenségi okot.  </w:t>
            </w:r>
          </w:p>
          <w:p w14:paraId="4B1544F7" w14:textId="77777777" w:rsidR="00834711" w:rsidRPr="00545901" w:rsidRDefault="00160567" w:rsidP="00AD374E">
            <w:pPr>
              <w:numPr>
                <w:ilvl w:val="0"/>
                <w:numId w:val="2"/>
              </w:numPr>
              <w:contextualSpacing/>
              <w:jc w:val="left"/>
              <w:rPr>
                <w:rFonts w:eastAsia="Times New Roman"/>
                <w:lang w:eastAsia="hu-HU"/>
              </w:rPr>
            </w:pPr>
            <w:r w:rsidRPr="00545901">
              <w:rPr>
                <w:rFonts w:eastAsia="Times New Roman"/>
                <w:lang w:eastAsia="hu-HU"/>
              </w:rPr>
              <w:t>Az ajánlatok bontása a Kbt. 68. §-</w:t>
            </w:r>
            <w:proofErr w:type="spellStart"/>
            <w:r w:rsidRPr="00545901">
              <w:rPr>
                <w:rFonts w:eastAsia="Times New Roman"/>
                <w:lang w:eastAsia="hu-HU"/>
              </w:rPr>
              <w:t>ának</w:t>
            </w:r>
            <w:proofErr w:type="spellEnd"/>
            <w:r w:rsidRPr="00545901">
              <w:rPr>
                <w:rFonts w:eastAsia="Times New Roman"/>
                <w:lang w:eastAsia="hu-HU"/>
              </w:rPr>
              <w:t xml:space="preserve"> (1b) bekezdése alapján az EKR-ben történik. A bontási eljárásra a Kbt. 68. § (1)-(4) és (6) bekezdésében foglaltak is irányadók.</w:t>
            </w:r>
          </w:p>
          <w:p w14:paraId="0A03A1D5" w14:textId="06A6F637" w:rsidR="00E476F4" w:rsidRPr="00545901" w:rsidRDefault="00834711" w:rsidP="00E476F4">
            <w:pPr>
              <w:numPr>
                <w:ilvl w:val="0"/>
                <w:numId w:val="2"/>
              </w:numPr>
              <w:contextualSpacing/>
              <w:jc w:val="left"/>
              <w:rPr>
                <w:rFonts w:eastAsia="Times New Roman"/>
                <w:lang w:eastAsia="hu-HU"/>
              </w:rPr>
            </w:pPr>
            <w:r w:rsidRPr="00545901">
              <w:rPr>
                <w:rFonts w:eastAsia="DejaVuSerif"/>
                <w:lang w:eastAsia="hu-HU"/>
              </w:rPr>
              <w:lastRenderedPageBreak/>
              <w:t xml:space="preserve">A nyertes ajánlattevőnek a kivitelezés időtartamára a tárgyi munkára építés-szerelési biztosítást kell kötnie, vagy a fennálló biztosítását erre a munkára kiterjesztenie! </w:t>
            </w:r>
            <w:r w:rsidR="00E476F4" w:rsidRPr="00545901">
              <w:t>Mértéke</w:t>
            </w:r>
            <w:r w:rsidR="00CB2A80" w:rsidRPr="00545901">
              <w:t xml:space="preserve"> </w:t>
            </w:r>
            <w:r w:rsidR="00782539">
              <w:t>2</w:t>
            </w:r>
            <w:r w:rsidR="00CB2A80" w:rsidRPr="00545901">
              <w:t xml:space="preserve"> millió Ft</w:t>
            </w:r>
            <w:r w:rsidR="00E476F4" w:rsidRPr="00545901">
              <w:t>/</w:t>
            </w:r>
            <w:proofErr w:type="gramStart"/>
            <w:r w:rsidR="00E476F4" w:rsidRPr="00545901">
              <w:t>kár</w:t>
            </w:r>
            <w:proofErr w:type="gramEnd"/>
            <w:r w:rsidR="00E476F4" w:rsidRPr="00545901">
              <w:t xml:space="preserve"> valamint </w:t>
            </w:r>
            <w:r w:rsidR="00782539">
              <w:t>20</w:t>
            </w:r>
            <w:r w:rsidR="00CB2A80" w:rsidRPr="00545901">
              <w:t xml:space="preserve"> millió Ft</w:t>
            </w:r>
            <w:r w:rsidR="00E476F4" w:rsidRPr="00545901">
              <w:t>/év</w:t>
            </w:r>
          </w:p>
          <w:p w14:paraId="486423A6" w14:textId="77777777" w:rsidR="008B5B79" w:rsidRPr="00B26AA7" w:rsidRDefault="00160567" w:rsidP="008B5B79">
            <w:pPr>
              <w:numPr>
                <w:ilvl w:val="0"/>
                <w:numId w:val="2"/>
              </w:numPr>
              <w:autoSpaceDE w:val="0"/>
              <w:autoSpaceDN w:val="0"/>
              <w:adjustRightInd w:val="0"/>
              <w:contextualSpacing/>
              <w:jc w:val="left"/>
              <w:rPr>
                <w:rFonts w:eastAsia="DejaVuSerif"/>
                <w:lang w:eastAsia="hu-HU"/>
              </w:rPr>
            </w:pPr>
            <w:r w:rsidRPr="00545901">
              <w:rPr>
                <w:rFonts w:eastAsia="Times New Roman"/>
                <w:lang w:eastAsia="hu-HU"/>
              </w:rPr>
              <w:t>Az ajánlatkérő fogadja és</w:t>
            </w:r>
            <w:r w:rsidRPr="00292440">
              <w:rPr>
                <w:rFonts w:eastAsia="Times New Roman"/>
                <w:lang w:eastAsia="hu-HU"/>
              </w:rPr>
              <w:t xml:space="preserve"> feldolgozza az olyan elektronikus számlákat, amelyek megfelelnek az EN16931-1:2017 számú európai szabványnak és az Európai Bizottság által e szabványhoz az EU </w:t>
            </w:r>
            <w:r w:rsidRPr="00B26AA7">
              <w:rPr>
                <w:rFonts w:eastAsia="Times New Roman"/>
                <w:lang w:eastAsia="hu-HU"/>
              </w:rPr>
              <w:t>Hivatalos Lapjában közzétett szintaxislistának [Kbt. 27/A. §].</w:t>
            </w:r>
          </w:p>
          <w:p w14:paraId="0293EC79" w14:textId="4F7B0425" w:rsidR="00DC2311" w:rsidRPr="00B26AA7" w:rsidRDefault="00DC2311" w:rsidP="00DC2311">
            <w:pPr>
              <w:numPr>
                <w:ilvl w:val="0"/>
                <w:numId w:val="2"/>
              </w:numPr>
              <w:autoSpaceDE w:val="0"/>
              <w:autoSpaceDN w:val="0"/>
              <w:adjustRightInd w:val="0"/>
              <w:contextualSpacing/>
              <w:rPr>
                <w:rFonts w:eastAsia="Times New Roman"/>
                <w:lang w:eastAsia="hu-HU"/>
              </w:rPr>
            </w:pPr>
            <w:bookmarkStart w:id="3" w:name="_Hlk190677095"/>
            <w:bookmarkStart w:id="4" w:name="_Hlk190677274"/>
            <w:r w:rsidRPr="00B26AA7">
              <w:rPr>
                <w:rFonts w:eastAsia="Times New Roman"/>
                <w:lang w:eastAsia="hu-HU"/>
              </w:rPr>
              <w:t xml:space="preserve">Ajánlatkérő felhívja a figyelmet, hogy az Ajánlattevőknek nyilatkozni kell, hogy az ajánlatban </w:t>
            </w:r>
            <w:bookmarkStart w:id="5" w:name="_Hlk190676953"/>
            <w:r w:rsidRPr="00B26AA7">
              <w:rPr>
                <w:rFonts w:eastAsia="Times New Roman"/>
                <w:lang w:eastAsia="hu-HU"/>
              </w:rPr>
              <w:t>megjelölt hátrányos helyzetű munkavállaló(k) foglalkoztatására az adott közbeszerzési eljárás eredményeként megkötésre kerülő szerződés teljesítése során kerül sor.</w:t>
            </w:r>
            <w:bookmarkEnd w:id="5"/>
          </w:p>
          <w:bookmarkEnd w:id="3"/>
          <w:bookmarkEnd w:id="4"/>
          <w:p w14:paraId="44B864C8" w14:textId="77777777" w:rsidR="008B5B79" w:rsidRPr="008B5B79" w:rsidRDefault="008B5B79" w:rsidP="008B5B79">
            <w:pPr>
              <w:numPr>
                <w:ilvl w:val="0"/>
                <w:numId w:val="2"/>
              </w:numPr>
              <w:autoSpaceDE w:val="0"/>
              <w:autoSpaceDN w:val="0"/>
              <w:adjustRightInd w:val="0"/>
              <w:contextualSpacing/>
              <w:jc w:val="left"/>
              <w:rPr>
                <w:rFonts w:eastAsia="DejaVuSerif"/>
                <w:lang w:eastAsia="hu-HU"/>
              </w:rPr>
            </w:pPr>
            <w:proofErr w:type="spellStart"/>
            <w:r w:rsidRPr="001F7F97">
              <w:t>Faksz</w:t>
            </w:r>
            <w:proofErr w:type="spellEnd"/>
            <w:r w:rsidRPr="001F7F97">
              <w:t>: dr. Herczeg Ágnes - lajstromszám: 00116.</w:t>
            </w:r>
          </w:p>
        </w:tc>
      </w:tr>
    </w:tbl>
    <w:p w14:paraId="066673F8" w14:textId="77777777" w:rsidR="00F31610" w:rsidRPr="00292440" w:rsidRDefault="00F31610" w:rsidP="0042537D">
      <w:pPr>
        <w:spacing w:before="120" w:after="120"/>
        <w:jc w:val="left"/>
        <w:rPr>
          <w:rFonts w:eastAsia="Times New Roman"/>
          <w:lang w:eastAsia="hu-HU"/>
        </w:rPr>
      </w:pPr>
      <w:r w:rsidRPr="00292440">
        <w:rPr>
          <w:rFonts w:eastAsia="Times New Roman"/>
          <w:b/>
          <w:bCs/>
          <w:lang w:eastAsia="hu-HU"/>
        </w:rPr>
        <w:lastRenderedPageBreak/>
        <w:t xml:space="preserve">VI.4) E hirdetmény feladásának dátuma: </w:t>
      </w:r>
      <w:r w:rsidRPr="00292440">
        <w:rPr>
          <w:rFonts w:eastAsia="Times New Roman"/>
          <w:i/>
          <w:iCs/>
          <w:lang w:eastAsia="hu-HU"/>
        </w:rPr>
        <w:t>(</w:t>
      </w:r>
      <w:proofErr w:type="spellStart"/>
      <w:r w:rsidRPr="00292440">
        <w:rPr>
          <w:rFonts w:eastAsia="Times New Roman"/>
          <w:i/>
          <w:iCs/>
          <w:lang w:eastAsia="hu-HU"/>
        </w:rPr>
        <w:t>éééé</w:t>
      </w:r>
      <w:proofErr w:type="spellEnd"/>
      <w:r w:rsidRPr="00292440">
        <w:rPr>
          <w:rFonts w:eastAsia="Times New Roman"/>
          <w:i/>
          <w:iCs/>
          <w:lang w:eastAsia="hu-HU"/>
        </w:rPr>
        <w:t>/</w:t>
      </w:r>
      <w:proofErr w:type="spellStart"/>
      <w:r w:rsidRPr="00292440">
        <w:rPr>
          <w:rFonts w:eastAsia="Times New Roman"/>
          <w:i/>
          <w:iCs/>
          <w:lang w:eastAsia="hu-HU"/>
        </w:rPr>
        <w:t>hh</w:t>
      </w:r>
      <w:proofErr w:type="spellEnd"/>
      <w:r w:rsidRPr="00292440">
        <w:rPr>
          <w:rFonts w:eastAsia="Times New Roman"/>
          <w:i/>
          <w:iCs/>
          <w:lang w:eastAsia="hu-HU"/>
        </w:rPr>
        <w:t>/</w:t>
      </w:r>
      <w:proofErr w:type="spellStart"/>
      <w:r w:rsidRPr="00292440">
        <w:rPr>
          <w:rFonts w:eastAsia="Times New Roman"/>
          <w:i/>
          <w:iCs/>
          <w:lang w:eastAsia="hu-HU"/>
        </w:rPr>
        <w:t>nn</w:t>
      </w:r>
      <w:proofErr w:type="spellEnd"/>
      <w:r w:rsidRPr="00292440">
        <w:rPr>
          <w:rFonts w:eastAsia="Times New Roman"/>
          <w:i/>
          <w:iCs/>
          <w:lang w:eastAsia="hu-HU"/>
        </w:rPr>
        <w:t>/)</w:t>
      </w:r>
    </w:p>
    <w:sectPr w:rsidR="00F31610" w:rsidRPr="00292440" w:rsidSect="00F31610">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ri Petra" w:date="2025-02-20T09:41:00Z" w:initials="PP">
    <w:p w14:paraId="0B0F627A" w14:textId="77777777" w:rsidR="00F7747F" w:rsidRDefault="00F7747F" w:rsidP="00F7747F">
      <w:pPr>
        <w:pStyle w:val="Jegyzetszveg"/>
        <w:jc w:val="left"/>
      </w:pPr>
      <w:r>
        <w:rPr>
          <w:rStyle w:val="Jegyzethivatkozs"/>
        </w:rPr>
        <w:annotationRef/>
      </w:r>
      <w:r>
        <w:t>A korábban megküldött dokumentumban elírás történt (17 millió Ft), így ezt mindenképpen javítani volt szükséges, tekintettel arra, hogy a becsült érték 75%-ban határozható meg a közbeszerzés tárgya szerinti árbevétel, mely így 15 millió Ft.</w:t>
      </w:r>
    </w:p>
  </w:comment>
  <w:comment w:id="1" w:author="Piri Petra" w:date="2025-02-20T09:43:00Z" w:initials="PP">
    <w:p w14:paraId="32DD3D31" w14:textId="77777777" w:rsidR="00F7747F" w:rsidRDefault="00F7747F" w:rsidP="00F7747F">
      <w:pPr>
        <w:pStyle w:val="Jegyzetszveg"/>
        <w:jc w:val="left"/>
      </w:pPr>
      <w:r>
        <w:rPr>
          <w:rStyle w:val="Jegyzethivatkozs"/>
        </w:rPr>
        <w:annotationRef/>
      </w:r>
      <w:r>
        <w:t>A közbeszerzés mennyisége alapján (2172 m2) annak 75%-a írható elő referenciaként, mely így 1629 m2. Erre tekintettel javasoljuk az 1500 m2 referencia előírást.</w:t>
      </w:r>
    </w:p>
  </w:comment>
  <w:comment w:id="2" w:author="Piri Petra" w:date="2025-02-20T09:40:00Z" w:initials="PP">
    <w:p w14:paraId="748823CE" w14:textId="18193029" w:rsidR="00F7747F" w:rsidRDefault="00F7747F" w:rsidP="00F7747F">
      <w:pPr>
        <w:pStyle w:val="Jegyzetszveg"/>
        <w:jc w:val="left"/>
      </w:pPr>
      <w:r>
        <w:rPr>
          <w:rStyle w:val="Jegyzethivatkozs"/>
        </w:rPr>
        <w:annotationRef/>
      </w:r>
      <w:r>
        <w:t>Az Arany János utcára vonatkozó becsült érték (3.361.054,- Ft) a teljes  becsült értéknek (20.115.902,-Ft) a 17%-a, így az 1 db részszámlát a 15%-os teljesítés ellenében javasolnánk előírni. Kérnénk ellenőrizni, hogy megfelelő-e így.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B0F627A" w15:done="0"/>
  <w15:commentEx w15:paraId="32DD3D31" w15:done="0"/>
  <w15:commentEx w15:paraId="748823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1A44DB" w16cex:dateUtc="2025-02-20T08:41:00Z"/>
  <w16cex:commentExtensible w16cex:durableId="57158984" w16cex:dateUtc="2025-02-20T08:43:00Z"/>
  <w16cex:commentExtensible w16cex:durableId="74555391" w16cex:dateUtc="2025-02-20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0F627A" w16cid:durableId="7C1A44DB"/>
  <w16cid:commentId w16cid:paraId="32DD3D31" w16cid:durableId="57158984"/>
  <w16cid:commentId w16cid:paraId="748823CE" w16cid:durableId="745553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91E01" w14:textId="77777777" w:rsidR="006D0C2C" w:rsidRDefault="006D0C2C" w:rsidP="004B411D">
      <w:r>
        <w:separator/>
      </w:r>
    </w:p>
  </w:endnote>
  <w:endnote w:type="continuationSeparator" w:id="0">
    <w:p w14:paraId="5EAEAF29" w14:textId="77777777" w:rsidR="006D0C2C" w:rsidRDefault="006D0C2C" w:rsidP="004B4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yriadPro-Light">
    <w:altName w:val="MS Gothic"/>
    <w:panose1 w:val="00000000000000000000"/>
    <w:charset w:val="80"/>
    <w:family w:val="swiss"/>
    <w:notTrueType/>
    <w:pitch w:val="default"/>
    <w:sig w:usb0="00000001" w:usb1="08070000" w:usb2="00000010" w:usb3="00000000" w:csb0="00020000" w:csb1="00000000"/>
  </w:font>
  <w:font w:name="DejaVuSerif">
    <w:altName w:val="Yu Gothic"/>
    <w:panose1 w:val="00000000000000000000"/>
    <w:charset w:val="80"/>
    <w:family w:val="auto"/>
    <w:notTrueType/>
    <w:pitch w:val="default"/>
    <w:sig w:usb0="00000005" w:usb1="08070000" w:usb2="00000010" w:usb3="00000000" w:csb0="00020002" w:csb1="00000000"/>
  </w:font>
  <w:font w:name="MyriadPro-LightIt">
    <w:altName w:val="MS Gothic"/>
    <w:panose1 w:val="00000000000000000000"/>
    <w:charset w:val="80"/>
    <w:family w:val="swiss"/>
    <w:notTrueType/>
    <w:pitch w:val="default"/>
    <w:sig w:usb0="00000003" w:usb1="08070000" w:usb2="00000010" w:usb3="00000000" w:csb0="00020001" w:csb1="00000000"/>
  </w:font>
  <w:font w:name="MyriadPro-Semibold">
    <w:altName w:val="MS Gothic"/>
    <w:panose1 w:val="00000000000000000000"/>
    <w:charset w:val="80"/>
    <w:family w:val="swiss"/>
    <w:notTrueType/>
    <w:pitch w:val="default"/>
    <w:sig w:usb0="00000203" w:usb1="08070000" w:usb2="00000010" w:usb3="00000000" w:csb0="00020005" w:csb1="00000000"/>
  </w:font>
  <w:font w:name="FiraSans-Medium">
    <w:altName w:val="Calibri"/>
    <w:panose1 w:val="00000000000000000000"/>
    <w:charset w:val="EE"/>
    <w:family w:val="auto"/>
    <w:notTrueType/>
    <w:pitch w:val="default"/>
    <w:sig w:usb0="00000005" w:usb1="00000000" w:usb2="00000000" w:usb3="00000000" w:csb0="00000002" w:csb1="00000000"/>
  </w:font>
  <w:font w:name="FiraSans-Regular">
    <w:altName w:val="Calibri"/>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BB964" w14:textId="77777777" w:rsidR="006D0C2C" w:rsidRDefault="006D0C2C" w:rsidP="004B411D">
      <w:r>
        <w:separator/>
      </w:r>
    </w:p>
  </w:footnote>
  <w:footnote w:type="continuationSeparator" w:id="0">
    <w:p w14:paraId="5FF6497A" w14:textId="77777777" w:rsidR="006D0C2C" w:rsidRDefault="006D0C2C" w:rsidP="004B41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31822"/>
    <w:multiLevelType w:val="hybridMultilevel"/>
    <w:tmpl w:val="F8E28A44"/>
    <w:lvl w:ilvl="0" w:tplc="EEC2520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0F12D7F"/>
    <w:multiLevelType w:val="hybridMultilevel"/>
    <w:tmpl w:val="54D00C9C"/>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B653197"/>
    <w:multiLevelType w:val="hybridMultilevel"/>
    <w:tmpl w:val="7E8C34C4"/>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FA24F3E"/>
    <w:multiLevelType w:val="hybridMultilevel"/>
    <w:tmpl w:val="7ABE58E4"/>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3BE63F0"/>
    <w:multiLevelType w:val="hybridMultilevel"/>
    <w:tmpl w:val="7648071C"/>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550213C"/>
    <w:multiLevelType w:val="hybridMultilevel"/>
    <w:tmpl w:val="3F14743E"/>
    <w:lvl w:ilvl="0" w:tplc="15108748">
      <w:start w:val="3"/>
      <w:numFmt w:val="bullet"/>
      <w:lvlText w:val="-"/>
      <w:lvlJc w:val="left"/>
      <w:pPr>
        <w:ind w:left="490" w:hanging="360"/>
      </w:pPr>
      <w:rPr>
        <w:rFonts w:ascii="Helvetica" w:eastAsiaTheme="minorEastAsia" w:hAnsi="Helvetica" w:cs="Helvetica" w:hint="default"/>
      </w:rPr>
    </w:lvl>
    <w:lvl w:ilvl="1" w:tplc="040E0003" w:tentative="1">
      <w:start w:val="1"/>
      <w:numFmt w:val="bullet"/>
      <w:lvlText w:val="o"/>
      <w:lvlJc w:val="left"/>
      <w:pPr>
        <w:ind w:left="1210" w:hanging="360"/>
      </w:pPr>
      <w:rPr>
        <w:rFonts w:ascii="Courier New" w:hAnsi="Courier New" w:cs="Courier New" w:hint="default"/>
      </w:rPr>
    </w:lvl>
    <w:lvl w:ilvl="2" w:tplc="040E0005" w:tentative="1">
      <w:start w:val="1"/>
      <w:numFmt w:val="bullet"/>
      <w:lvlText w:val=""/>
      <w:lvlJc w:val="left"/>
      <w:pPr>
        <w:ind w:left="1930" w:hanging="360"/>
      </w:pPr>
      <w:rPr>
        <w:rFonts w:ascii="Wingdings" w:hAnsi="Wingdings" w:hint="default"/>
      </w:rPr>
    </w:lvl>
    <w:lvl w:ilvl="3" w:tplc="040E0001" w:tentative="1">
      <w:start w:val="1"/>
      <w:numFmt w:val="bullet"/>
      <w:lvlText w:val=""/>
      <w:lvlJc w:val="left"/>
      <w:pPr>
        <w:ind w:left="2650" w:hanging="360"/>
      </w:pPr>
      <w:rPr>
        <w:rFonts w:ascii="Symbol" w:hAnsi="Symbol" w:hint="default"/>
      </w:rPr>
    </w:lvl>
    <w:lvl w:ilvl="4" w:tplc="040E0003" w:tentative="1">
      <w:start w:val="1"/>
      <w:numFmt w:val="bullet"/>
      <w:lvlText w:val="o"/>
      <w:lvlJc w:val="left"/>
      <w:pPr>
        <w:ind w:left="3370" w:hanging="360"/>
      </w:pPr>
      <w:rPr>
        <w:rFonts w:ascii="Courier New" w:hAnsi="Courier New" w:cs="Courier New" w:hint="default"/>
      </w:rPr>
    </w:lvl>
    <w:lvl w:ilvl="5" w:tplc="040E0005" w:tentative="1">
      <w:start w:val="1"/>
      <w:numFmt w:val="bullet"/>
      <w:lvlText w:val=""/>
      <w:lvlJc w:val="left"/>
      <w:pPr>
        <w:ind w:left="4090" w:hanging="360"/>
      </w:pPr>
      <w:rPr>
        <w:rFonts w:ascii="Wingdings" w:hAnsi="Wingdings" w:hint="default"/>
      </w:rPr>
    </w:lvl>
    <w:lvl w:ilvl="6" w:tplc="040E0001" w:tentative="1">
      <w:start w:val="1"/>
      <w:numFmt w:val="bullet"/>
      <w:lvlText w:val=""/>
      <w:lvlJc w:val="left"/>
      <w:pPr>
        <w:ind w:left="4810" w:hanging="360"/>
      </w:pPr>
      <w:rPr>
        <w:rFonts w:ascii="Symbol" w:hAnsi="Symbol" w:hint="default"/>
      </w:rPr>
    </w:lvl>
    <w:lvl w:ilvl="7" w:tplc="040E0003" w:tentative="1">
      <w:start w:val="1"/>
      <w:numFmt w:val="bullet"/>
      <w:lvlText w:val="o"/>
      <w:lvlJc w:val="left"/>
      <w:pPr>
        <w:ind w:left="5530" w:hanging="360"/>
      </w:pPr>
      <w:rPr>
        <w:rFonts w:ascii="Courier New" w:hAnsi="Courier New" w:cs="Courier New" w:hint="default"/>
      </w:rPr>
    </w:lvl>
    <w:lvl w:ilvl="8" w:tplc="040E0005" w:tentative="1">
      <w:start w:val="1"/>
      <w:numFmt w:val="bullet"/>
      <w:lvlText w:val=""/>
      <w:lvlJc w:val="left"/>
      <w:pPr>
        <w:ind w:left="6250" w:hanging="360"/>
      </w:pPr>
      <w:rPr>
        <w:rFonts w:ascii="Wingdings" w:hAnsi="Wingdings" w:hint="default"/>
      </w:rPr>
    </w:lvl>
  </w:abstractNum>
  <w:abstractNum w:abstractNumId="6" w15:restartNumberingAfterBreak="0">
    <w:nsid w:val="2C916F78"/>
    <w:multiLevelType w:val="hybridMultilevel"/>
    <w:tmpl w:val="5ECC443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1456D1F"/>
    <w:multiLevelType w:val="hybridMultilevel"/>
    <w:tmpl w:val="3FE804B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2C864F6"/>
    <w:multiLevelType w:val="hybridMultilevel"/>
    <w:tmpl w:val="F912CA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5CB67AF"/>
    <w:multiLevelType w:val="hybridMultilevel"/>
    <w:tmpl w:val="C186D88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A3A0D2E"/>
    <w:multiLevelType w:val="hybridMultilevel"/>
    <w:tmpl w:val="F560055A"/>
    <w:lvl w:ilvl="0" w:tplc="9F0E7408">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B9B6B49"/>
    <w:multiLevelType w:val="hybridMultilevel"/>
    <w:tmpl w:val="CFF0E9AC"/>
    <w:lvl w:ilvl="0" w:tplc="F4D4FAA0">
      <w:start w:val="1"/>
      <w:numFmt w:val="decimal"/>
      <w:lvlText w:val="%1)"/>
      <w:lvlJc w:val="left"/>
      <w:pPr>
        <w:ind w:left="360" w:hanging="360"/>
      </w:pPr>
      <w:rPr>
        <w:rFonts w:ascii="Times New Roman" w:hAnsi="Times New Roman" w:cs="Times New Roman"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05641CA"/>
    <w:multiLevelType w:val="hybridMultilevel"/>
    <w:tmpl w:val="43A8E34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4A39A5"/>
    <w:multiLevelType w:val="hybridMultilevel"/>
    <w:tmpl w:val="5C70914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1B97966"/>
    <w:multiLevelType w:val="multilevel"/>
    <w:tmpl w:val="42FA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E7E40C6"/>
    <w:multiLevelType w:val="hybridMultilevel"/>
    <w:tmpl w:val="63EA88C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2F6467C"/>
    <w:multiLevelType w:val="multilevel"/>
    <w:tmpl w:val="A3A43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64432E"/>
    <w:multiLevelType w:val="hybridMultilevel"/>
    <w:tmpl w:val="19D211D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4184B82"/>
    <w:multiLevelType w:val="hybridMultilevel"/>
    <w:tmpl w:val="F0EC4D8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A075469"/>
    <w:multiLevelType w:val="hybridMultilevel"/>
    <w:tmpl w:val="B2969EC4"/>
    <w:lvl w:ilvl="0" w:tplc="0F20A948">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BE16D2"/>
    <w:multiLevelType w:val="hybridMultilevel"/>
    <w:tmpl w:val="410CC04C"/>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CD16F32"/>
    <w:multiLevelType w:val="hybridMultilevel"/>
    <w:tmpl w:val="5D64189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25B6CA7"/>
    <w:multiLevelType w:val="hybridMultilevel"/>
    <w:tmpl w:val="240C3A8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4024EA3"/>
    <w:multiLevelType w:val="hybridMultilevel"/>
    <w:tmpl w:val="383E211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E3D2D88"/>
    <w:multiLevelType w:val="hybridMultilevel"/>
    <w:tmpl w:val="CFF0E9AC"/>
    <w:lvl w:ilvl="0" w:tplc="F4D4FAA0">
      <w:start w:val="1"/>
      <w:numFmt w:val="decimal"/>
      <w:lvlText w:val="%1)"/>
      <w:lvlJc w:val="left"/>
      <w:pPr>
        <w:ind w:left="360" w:hanging="360"/>
      </w:pPr>
      <w:rPr>
        <w:rFonts w:ascii="Times New Roman" w:hAnsi="Times New Roman" w:cs="Times New Roman"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FF22B00"/>
    <w:multiLevelType w:val="hybridMultilevel"/>
    <w:tmpl w:val="B316D50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552038924">
    <w:abstractNumId w:val="20"/>
  </w:num>
  <w:num w:numId="2" w16cid:durableId="730466254">
    <w:abstractNumId w:val="11"/>
  </w:num>
  <w:num w:numId="3" w16cid:durableId="1322927239">
    <w:abstractNumId w:val="12"/>
  </w:num>
  <w:num w:numId="4" w16cid:durableId="514543034">
    <w:abstractNumId w:val="24"/>
  </w:num>
  <w:num w:numId="5" w16cid:durableId="1572083364">
    <w:abstractNumId w:val="19"/>
  </w:num>
  <w:num w:numId="6" w16cid:durableId="572352945">
    <w:abstractNumId w:val="14"/>
  </w:num>
  <w:num w:numId="7" w16cid:durableId="1379478577">
    <w:abstractNumId w:val="16"/>
  </w:num>
  <w:num w:numId="8" w16cid:durableId="1270162833">
    <w:abstractNumId w:val="7"/>
  </w:num>
  <w:num w:numId="9" w16cid:durableId="402333727">
    <w:abstractNumId w:val="22"/>
  </w:num>
  <w:num w:numId="10" w16cid:durableId="489755082">
    <w:abstractNumId w:val="15"/>
  </w:num>
  <w:num w:numId="11" w16cid:durableId="1192567509">
    <w:abstractNumId w:val="3"/>
  </w:num>
  <w:num w:numId="12" w16cid:durableId="1041326047">
    <w:abstractNumId w:val="18"/>
  </w:num>
  <w:num w:numId="13" w16cid:durableId="2004353888">
    <w:abstractNumId w:val="4"/>
  </w:num>
  <w:num w:numId="14" w16cid:durableId="936249701">
    <w:abstractNumId w:val="21"/>
  </w:num>
  <w:num w:numId="15" w16cid:durableId="1153260351">
    <w:abstractNumId w:val="23"/>
  </w:num>
  <w:num w:numId="16" w16cid:durableId="808745189">
    <w:abstractNumId w:val="2"/>
  </w:num>
  <w:num w:numId="17" w16cid:durableId="1983928079">
    <w:abstractNumId w:val="9"/>
  </w:num>
  <w:num w:numId="18" w16cid:durableId="368343435">
    <w:abstractNumId w:val="6"/>
  </w:num>
  <w:num w:numId="19" w16cid:durableId="1244030756">
    <w:abstractNumId w:val="1"/>
  </w:num>
  <w:num w:numId="20" w16cid:durableId="1956250158">
    <w:abstractNumId w:val="8"/>
  </w:num>
  <w:num w:numId="21" w16cid:durableId="1855344646">
    <w:abstractNumId w:val="25"/>
  </w:num>
  <w:num w:numId="22" w16cid:durableId="774517595">
    <w:abstractNumId w:val="13"/>
  </w:num>
  <w:num w:numId="23" w16cid:durableId="1216047832">
    <w:abstractNumId w:val="17"/>
  </w:num>
  <w:num w:numId="24" w16cid:durableId="1534883833">
    <w:abstractNumId w:val="10"/>
  </w:num>
  <w:num w:numId="25" w16cid:durableId="123893347">
    <w:abstractNumId w:val="5"/>
  </w:num>
  <w:num w:numId="26" w16cid:durableId="124409927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ri Petra">
    <w15:presenceInfo w15:providerId="AD" w15:userId="S::pirip@tendercontrol.hu::44288f62-7a7b-4980-9610-0a6a5018bf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99C"/>
    <w:rsid w:val="00006CF1"/>
    <w:rsid w:val="00007711"/>
    <w:rsid w:val="00011C2C"/>
    <w:rsid w:val="00016668"/>
    <w:rsid w:val="00016960"/>
    <w:rsid w:val="00020A8B"/>
    <w:rsid w:val="0003175E"/>
    <w:rsid w:val="00033F0D"/>
    <w:rsid w:val="00034806"/>
    <w:rsid w:val="00040A6D"/>
    <w:rsid w:val="0005166D"/>
    <w:rsid w:val="00054F9C"/>
    <w:rsid w:val="00060E22"/>
    <w:rsid w:val="00064C5E"/>
    <w:rsid w:val="0006687F"/>
    <w:rsid w:val="00073978"/>
    <w:rsid w:val="000739B3"/>
    <w:rsid w:val="000744C6"/>
    <w:rsid w:val="0007687D"/>
    <w:rsid w:val="000778ED"/>
    <w:rsid w:val="00080C13"/>
    <w:rsid w:val="0008211C"/>
    <w:rsid w:val="000866C9"/>
    <w:rsid w:val="00086B13"/>
    <w:rsid w:val="00087757"/>
    <w:rsid w:val="00090154"/>
    <w:rsid w:val="000915F3"/>
    <w:rsid w:val="00097C75"/>
    <w:rsid w:val="000A2D29"/>
    <w:rsid w:val="000A40C0"/>
    <w:rsid w:val="000A6827"/>
    <w:rsid w:val="000B5218"/>
    <w:rsid w:val="000B5505"/>
    <w:rsid w:val="000B7793"/>
    <w:rsid w:val="000B7E8B"/>
    <w:rsid w:val="000C23D5"/>
    <w:rsid w:val="000C3338"/>
    <w:rsid w:val="000C5C1C"/>
    <w:rsid w:val="000C757F"/>
    <w:rsid w:val="000C7900"/>
    <w:rsid w:val="000D0B03"/>
    <w:rsid w:val="000D50BD"/>
    <w:rsid w:val="000D5BD4"/>
    <w:rsid w:val="000E074C"/>
    <w:rsid w:val="000E17B4"/>
    <w:rsid w:val="000E1B88"/>
    <w:rsid w:val="000E3DF0"/>
    <w:rsid w:val="000E462F"/>
    <w:rsid w:val="000E5D93"/>
    <w:rsid w:val="000F0B91"/>
    <w:rsid w:val="000F1C55"/>
    <w:rsid w:val="000F2E40"/>
    <w:rsid w:val="000F532D"/>
    <w:rsid w:val="000F5BA5"/>
    <w:rsid w:val="000F6D29"/>
    <w:rsid w:val="00104AB1"/>
    <w:rsid w:val="00105FE5"/>
    <w:rsid w:val="00114518"/>
    <w:rsid w:val="00115D8A"/>
    <w:rsid w:val="0012491E"/>
    <w:rsid w:val="00125EF0"/>
    <w:rsid w:val="001267EF"/>
    <w:rsid w:val="00133FB1"/>
    <w:rsid w:val="0013481D"/>
    <w:rsid w:val="00134943"/>
    <w:rsid w:val="00134B0C"/>
    <w:rsid w:val="00145F2F"/>
    <w:rsid w:val="0014614D"/>
    <w:rsid w:val="00151B31"/>
    <w:rsid w:val="00153966"/>
    <w:rsid w:val="00160567"/>
    <w:rsid w:val="00162450"/>
    <w:rsid w:val="00163AB3"/>
    <w:rsid w:val="00163D9A"/>
    <w:rsid w:val="00166694"/>
    <w:rsid w:val="001712DD"/>
    <w:rsid w:val="00173713"/>
    <w:rsid w:val="00176039"/>
    <w:rsid w:val="0018117E"/>
    <w:rsid w:val="001815AB"/>
    <w:rsid w:val="001840EA"/>
    <w:rsid w:val="001926E9"/>
    <w:rsid w:val="00195576"/>
    <w:rsid w:val="001977C3"/>
    <w:rsid w:val="00197E4B"/>
    <w:rsid w:val="001A1999"/>
    <w:rsid w:val="001A7BF3"/>
    <w:rsid w:val="001A7CE7"/>
    <w:rsid w:val="001B2970"/>
    <w:rsid w:val="001B5118"/>
    <w:rsid w:val="001C2DC9"/>
    <w:rsid w:val="001C42C6"/>
    <w:rsid w:val="001C4CCF"/>
    <w:rsid w:val="001C5E44"/>
    <w:rsid w:val="001C6703"/>
    <w:rsid w:val="001C69D4"/>
    <w:rsid w:val="001D0DD3"/>
    <w:rsid w:val="001D3E69"/>
    <w:rsid w:val="001D5637"/>
    <w:rsid w:val="001D64FF"/>
    <w:rsid w:val="001E0F33"/>
    <w:rsid w:val="001E2357"/>
    <w:rsid w:val="001E77F9"/>
    <w:rsid w:val="001F0821"/>
    <w:rsid w:val="001F129D"/>
    <w:rsid w:val="001F1B7B"/>
    <w:rsid w:val="001F259A"/>
    <w:rsid w:val="001F7EFE"/>
    <w:rsid w:val="00205896"/>
    <w:rsid w:val="00213EE8"/>
    <w:rsid w:val="00220AF7"/>
    <w:rsid w:val="00223790"/>
    <w:rsid w:val="002246EE"/>
    <w:rsid w:val="00230465"/>
    <w:rsid w:val="002318A1"/>
    <w:rsid w:val="00233485"/>
    <w:rsid w:val="0023524C"/>
    <w:rsid w:val="00237A8D"/>
    <w:rsid w:val="00241DC6"/>
    <w:rsid w:val="00242EA5"/>
    <w:rsid w:val="002463B1"/>
    <w:rsid w:val="00246A66"/>
    <w:rsid w:val="00255588"/>
    <w:rsid w:val="00264DA3"/>
    <w:rsid w:val="002657A9"/>
    <w:rsid w:val="002670BE"/>
    <w:rsid w:val="00272396"/>
    <w:rsid w:val="00276FE4"/>
    <w:rsid w:val="0027748E"/>
    <w:rsid w:val="00280740"/>
    <w:rsid w:val="00280ED0"/>
    <w:rsid w:val="002820FB"/>
    <w:rsid w:val="00286F4B"/>
    <w:rsid w:val="00292440"/>
    <w:rsid w:val="0029558D"/>
    <w:rsid w:val="002A26B8"/>
    <w:rsid w:val="002A58BC"/>
    <w:rsid w:val="002A6049"/>
    <w:rsid w:val="002B1B34"/>
    <w:rsid w:val="002B27C8"/>
    <w:rsid w:val="002B56FC"/>
    <w:rsid w:val="002B603C"/>
    <w:rsid w:val="002C2BDB"/>
    <w:rsid w:val="002C70E5"/>
    <w:rsid w:val="002D052C"/>
    <w:rsid w:val="002D0689"/>
    <w:rsid w:val="002D32B2"/>
    <w:rsid w:val="002D5EA7"/>
    <w:rsid w:val="002D6C53"/>
    <w:rsid w:val="002E1C0E"/>
    <w:rsid w:val="002E212D"/>
    <w:rsid w:val="002E69CD"/>
    <w:rsid w:val="002E7FD5"/>
    <w:rsid w:val="002E7FDE"/>
    <w:rsid w:val="002F187B"/>
    <w:rsid w:val="002F4BB0"/>
    <w:rsid w:val="002F5886"/>
    <w:rsid w:val="002F6CC9"/>
    <w:rsid w:val="002F75A0"/>
    <w:rsid w:val="00301D88"/>
    <w:rsid w:val="003026E2"/>
    <w:rsid w:val="0030449A"/>
    <w:rsid w:val="00304F6A"/>
    <w:rsid w:val="003100E6"/>
    <w:rsid w:val="003130E6"/>
    <w:rsid w:val="00314899"/>
    <w:rsid w:val="003259FA"/>
    <w:rsid w:val="00325AE0"/>
    <w:rsid w:val="00326ED2"/>
    <w:rsid w:val="00327A28"/>
    <w:rsid w:val="00332767"/>
    <w:rsid w:val="00332B56"/>
    <w:rsid w:val="003345E1"/>
    <w:rsid w:val="00336A1A"/>
    <w:rsid w:val="003376C8"/>
    <w:rsid w:val="00342F1A"/>
    <w:rsid w:val="00342F8B"/>
    <w:rsid w:val="0035133C"/>
    <w:rsid w:val="00352BD3"/>
    <w:rsid w:val="00356701"/>
    <w:rsid w:val="00360184"/>
    <w:rsid w:val="003604CE"/>
    <w:rsid w:val="00361477"/>
    <w:rsid w:val="0036610F"/>
    <w:rsid w:val="00371230"/>
    <w:rsid w:val="003803E1"/>
    <w:rsid w:val="00382705"/>
    <w:rsid w:val="00384EC1"/>
    <w:rsid w:val="00386236"/>
    <w:rsid w:val="00390000"/>
    <w:rsid w:val="003A1F7B"/>
    <w:rsid w:val="003A6E54"/>
    <w:rsid w:val="003C1E14"/>
    <w:rsid w:val="003C3E30"/>
    <w:rsid w:val="003C4A0B"/>
    <w:rsid w:val="003C7AAA"/>
    <w:rsid w:val="003D05B2"/>
    <w:rsid w:val="003D378C"/>
    <w:rsid w:val="003D5522"/>
    <w:rsid w:val="003D5DC0"/>
    <w:rsid w:val="003E01EB"/>
    <w:rsid w:val="003E092E"/>
    <w:rsid w:val="003E10B7"/>
    <w:rsid w:val="003E5E3B"/>
    <w:rsid w:val="003E603E"/>
    <w:rsid w:val="003F08C0"/>
    <w:rsid w:val="00402483"/>
    <w:rsid w:val="0041047E"/>
    <w:rsid w:val="00412B79"/>
    <w:rsid w:val="00422F98"/>
    <w:rsid w:val="00424B57"/>
    <w:rsid w:val="0042537D"/>
    <w:rsid w:val="00425598"/>
    <w:rsid w:val="00426C3C"/>
    <w:rsid w:val="0044256E"/>
    <w:rsid w:val="004432B9"/>
    <w:rsid w:val="00453B86"/>
    <w:rsid w:val="00454088"/>
    <w:rsid w:val="00455803"/>
    <w:rsid w:val="00455D07"/>
    <w:rsid w:val="004601CC"/>
    <w:rsid w:val="00461637"/>
    <w:rsid w:val="00461E0F"/>
    <w:rsid w:val="004623C8"/>
    <w:rsid w:val="00462BB2"/>
    <w:rsid w:val="00463F62"/>
    <w:rsid w:val="004650F4"/>
    <w:rsid w:val="004658E2"/>
    <w:rsid w:val="004705BC"/>
    <w:rsid w:val="004748A0"/>
    <w:rsid w:val="00475B9F"/>
    <w:rsid w:val="004838F1"/>
    <w:rsid w:val="0048423D"/>
    <w:rsid w:val="00484541"/>
    <w:rsid w:val="00485AFD"/>
    <w:rsid w:val="004873C9"/>
    <w:rsid w:val="00487681"/>
    <w:rsid w:val="00493A81"/>
    <w:rsid w:val="00494236"/>
    <w:rsid w:val="00494ABC"/>
    <w:rsid w:val="00494D2B"/>
    <w:rsid w:val="00496243"/>
    <w:rsid w:val="00496F4C"/>
    <w:rsid w:val="004A408D"/>
    <w:rsid w:val="004A6636"/>
    <w:rsid w:val="004A67FD"/>
    <w:rsid w:val="004A73EC"/>
    <w:rsid w:val="004A7664"/>
    <w:rsid w:val="004B411D"/>
    <w:rsid w:val="004B596E"/>
    <w:rsid w:val="004B74E9"/>
    <w:rsid w:val="004C17E0"/>
    <w:rsid w:val="004C4BA9"/>
    <w:rsid w:val="004C642A"/>
    <w:rsid w:val="004C7C05"/>
    <w:rsid w:val="004C7F8D"/>
    <w:rsid w:val="004D6B22"/>
    <w:rsid w:val="004E0CB6"/>
    <w:rsid w:val="004E1B60"/>
    <w:rsid w:val="004E55DE"/>
    <w:rsid w:val="004F05C3"/>
    <w:rsid w:val="004F0D1E"/>
    <w:rsid w:val="004F1612"/>
    <w:rsid w:val="004F61FE"/>
    <w:rsid w:val="004F6FE7"/>
    <w:rsid w:val="00504923"/>
    <w:rsid w:val="00506BAF"/>
    <w:rsid w:val="00520044"/>
    <w:rsid w:val="00525245"/>
    <w:rsid w:val="0052593E"/>
    <w:rsid w:val="00525CC8"/>
    <w:rsid w:val="00527158"/>
    <w:rsid w:val="00533C5C"/>
    <w:rsid w:val="00541D2C"/>
    <w:rsid w:val="00542CDB"/>
    <w:rsid w:val="005457AD"/>
    <w:rsid w:val="00545901"/>
    <w:rsid w:val="00545CFF"/>
    <w:rsid w:val="005503E5"/>
    <w:rsid w:val="005506F1"/>
    <w:rsid w:val="00551010"/>
    <w:rsid w:val="00552E8E"/>
    <w:rsid w:val="00555A10"/>
    <w:rsid w:val="005601FE"/>
    <w:rsid w:val="00560E7D"/>
    <w:rsid w:val="00561223"/>
    <w:rsid w:val="0056408E"/>
    <w:rsid w:val="005647BD"/>
    <w:rsid w:val="00566C8E"/>
    <w:rsid w:val="00572359"/>
    <w:rsid w:val="00573558"/>
    <w:rsid w:val="00575D50"/>
    <w:rsid w:val="00580176"/>
    <w:rsid w:val="0058792F"/>
    <w:rsid w:val="00591A8C"/>
    <w:rsid w:val="00595CB4"/>
    <w:rsid w:val="00597AF0"/>
    <w:rsid w:val="005A1737"/>
    <w:rsid w:val="005A5FDF"/>
    <w:rsid w:val="005A6EFC"/>
    <w:rsid w:val="005B3316"/>
    <w:rsid w:val="005B3898"/>
    <w:rsid w:val="005B655B"/>
    <w:rsid w:val="005C074A"/>
    <w:rsid w:val="005C2DE6"/>
    <w:rsid w:val="005D74AB"/>
    <w:rsid w:val="005E2BBD"/>
    <w:rsid w:val="005E3E86"/>
    <w:rsid w:val="005E6866"/>
    <w:rsid w:val="005F03C4"/>
    <w:rsid w:val="005F0D52"/>
    <w:rsid w:val="005F269D"/>
    <w:rsid w:val="005F2819"/>
    <w:rsid w:val="006010DC"/>
    <w:rsid w:val="006045AA"/>
    <w:rsid w:val="00606D33"/>
    <w:rsid w:val="0061650D"/>
    <w:rsid w:val="006169D5"/>
    <w:rsid w:val="006216E8"/>
    <w:rsid w:val="006225D0"/>
    <w:rsid w:val="00624B6C"/>
    <w:rsid w:val="0062535B"/>
    <w:rsid w:val="00627327"/>
    <w:rsid w:val="006306DC"/>
    <w:rsid w:val="0063499C"/>
    <w:rsid w:val="0063684D"/>
    <w:rsid w:val="00637D69"/>
    <w:rsid w:val="00647199"/>
    <w:rsid w:val="006512C7"/>
    <w:rsid w:val="0065315D"/>
    <w:rsid w:val="00655ACC"/>
    <w:rsid w:val="00655CAC"/>
    <w:rsid w:val="00656372"/>
    <w:rsid w:val="00661C87"/>
    <w:rsid w:val="00662829"/>
    <w:rsid w:val="00670C75"/>
    <w:rsid w:val="006745CB"/>
    <w:rsid w:val="006754E5"/>
    <w:rsid w:val="006766DA"/>
    <w:rsid w:val="006810A5"/>
    <w:rsid w:val="00682559"/>
    <w:rsid w:val="00684DA6"/>
    <w:rsid w:val="00685C10"/>
    <w:rsid w:val="00686327"/>
    <w:rsid w:val="006876F8"/>
    <w:rsid w:val="00687951"/>
    <w:rsid w:val="006905EF"/>
    <w:rsid w:val="006917D8"/>
    <w:rsid w:val="0069325F"/>
    <w:rsid w:val="00694E1F"/>
    <w:rsid w:val="006A0361"/>
    <w:rsid w:val="006C251F"/>
    <w:rsid w:val="006C27BE"/>
    <w:rsid w:val="006C54A3"/>
    <w:rsid w:val="006D0C2C"/>
    <w:rsid w:val="006D1045"/>
    <w:rsid w:val="006D2AC7"/>
    <w:rsid w:val="006E142E"/>
    <w:rsid w:val="006E6A3E"/>
    <w:rsid w:val="006F1219"/>
    <w:rsid w:val="006F35F5"/>
    <w:rsid w:val="006F548E"/>
    <w:rsid w:val="00700ED1"/>
    <w:rsid w:val="00701B03"/>
    <w:rsid w:val="007034E6"/>
    <w:rsid w:val="00707F34"/>
    <w:rsid w:val="00713EC0"/>
    <w:rsid w:val="00720662"/>
    <w:rsid w:val="007336FC"/>
    <w:rsid w:val="00737F99"/>
    <w:rsid w:val="0074636C"/>
    <w:rsid w:val="00746574"/>
    <w:rsid w:val="00746B7D"/>
    <w:rsid w:val="007519EF"/>
    <w:rsid w:val="00760731"/>
    <w:rsid w:val="00771990"/>
    <w:rsid w:val="007721C1"/>
    <w:rsid w:val="00772A35"/>
    <w:rsid w:val="00774ADE"/>
    <w:rsid w:val="00777787"/>
    <w:rsid w:val="00782539"/>
    <w:rsid w:val="0078261C"/>
    <w:rsid w:val="007828CB"/>
    <w:rsid w:val="0078368E"/>
    <w:rsid w:val="007839F9"/>
    <w:rsid w:val="00787FD9"/>
    <w:rsid w:val="00791138"/>
    <w:rsid w:val="007A0683"/>
    <w:rsid w:val="007B326C"/>
    <w:rsid w:val="007B5B9B"/>
    <w:rsid w:val="007C3BEC"/>
    <w:rsid w:val="007C54AC"/>
    <w:rsid w:val="007C6393"/>
    <w:rsid w:val="007D5643"/>
    <w:rsid w:val="007E0BE6"/>
    <w:rsid w:val="007E1CE7"/>
    <w:rsid w:val="007E3B6B"/>
    <w:rsid w:val="007E7822"/>
    <w:rsid w:val="007F050A"/>
    <w:rsid w:val="007F19AD"/>
    <w:rsid w:val="007F3D56"/>
    <w:rsid w:val="007F5A26"/>
    <w:rsid w:val="007F5E24"/>
    <w:rsid w:val="007F742C"/>
    <w:rsid w:val="007F7FA8"/>
    <w:rsid w:val="008014CA"/>
    <w:rsid w:val="00801B01"/>
    <w:rsid w:val="00803CA9"/>
    <w:rsid w:val="008119FB"/>
    <w:rsid w:val="00813F45"/>
    <w:rsid w:val="008164F4"/>
    <w:rsid w:val="0081763C"/>
    <w:rsid w:val="008201B8"/>
    <w:rsid w:val="00820ABE"/>
    <w:rsid w:val="00824F10"/>
    <w:rsid w:val="00825FFC"/>
    <w:rsid w:val="00834711"/>
    <w:rsid w:val="0083520C"/>
    <w:rsid w:val="00837A23"/>
    <w:rsid w:val="008477A8"/>
    <w:rsid w:val="00854EA8"/>
    <w:rsid w:val="00857C1A"/>
    <w:rsid w:val="00861261"/>
    <w:rsid w:val="00866CBC"/>
    <w:rsid w:val="008761CE"/>
    <w:rsid w:val="00877A9A"/>
    <w:rsid w:val="00882DEC"/>
    <w:rsid w:val="008972FE"/>
    <w:rsid w:val="008B1D5D"/>
    <w:rsid w:val="008B5B79"/>
    <w:rsid w:val="008C028F"/>
    <w:rsid w:val="008C1BB6"/>
    <w:rsid w:val="008C3A43"/>
    <w:rsid w:val="008C4AAE"/>
    <w:rsid w:val="008C7922"/>
    <w:rsid w:val="008C797B"/>
    <w:rsid w:val="008D0E47"/>
    <w:rsid w:val="008D467A"/>
    <w:rsid w:val="008D52B0"/>
    <w:rsid w:val="008D5B18"/>
    <w:rsid w:val="008E0FD0"/>
    <w:rsid w:val="008E4135"/>
    <w:rsid w:val="008E5851"/>
    <w:rsid w:val="008E71A4"/>
    <w:rsid w:val="008E789B"/>
    <w:rsid w:val="008F001A"/>
    <w:rsid w:val="008F1AEF"/>
    <w:rsid w:val="008F36EE"/>
    <w:rsid w:val="008F7C10"/>
    <w:rsid w:val="008F7E52"/>
    <w:rsid w:val="00901B1D"/>
    <w:rsid w:val="0090587D"/>
    <w:rsid w:val="009064B3"/>
    <w:rsid w:val="00910AAC"/>
    <w:rsid w:val="0091609D"/>
    <w:rsid w:val="00917057"/>
    <w:rsid w:val="00917DF6"/>
    <w:rsid w:val="0092371D"/>
    <w:rsid w:val="00925A7A"/>
    <w:rsid w:val="00926834"/>
    <w:rsid w:val="00927BD3"/>
    <w:rsid w:val="009312B6"/>
    <w:rsid w:val="00933424"/>
    <w:rsid w:val="0093398C"/>
    <w:rsid w:val="00940029"/>
    <w:rsid w:val="00945160"/>
    <w:rsid w:val="009531F5"/>
    <w:rsid w:val="009708D7"/>
    <w:rsid w:val="0097322F"/>
    <w:rsid w:val="00973BDC"/>
    <w:rsid w:val="00977BC7"/>
    <w:rsid w:val="009811DE"/>
    <w:rsid w:val="009818B9"/>
    <w:rsid w:val="009862D2"/>
    <w:rsid w:val="00996DD2"/>
    <w:rsid w:val="009A226C"/>
    <w:rsid w:val="009A2BA0"/>
    <w:rsid w:val="009B4E3C"/>
    <w:rsid w:val="009C2677"/>
    <w:rsid w:val="009D0FC3"/>
    <w:rsid w:val="009D3CC7"/>
    <w:rsid w:val="009D4873"/>
    <w:rsid w:val="009D5AC0"/>
    <w:rsid w:val="009D6054"/>
    <w:rsid w:val="009E1783"/>
    <w:rsid w:val="009E19A6"/>
    <w:rsid w:val="009F0B53"/>
    <w:rsid w:val="009F42CF"/>
    <w:rsid w:val="009F63D5"/>
    <w:rsid w:val="009F7ADD"/>
    <w:rsid w:val="00A016B3"/>
    <w:rsid w:val="00A02719"/>
    <w:rsid w:val="00A05039"/>
    <w:rsid w:val="00A07E04"/>
    <w:rsid w:val="00A1018C"/>
    <w:rsid w:val="00A10CDD"/>
    <w:rsid w:val="00A13110"/>
    <w:rsid w:val="00A14EE9"/>
    <w:rsid w:val="00A2599A"/>
    <w:rsid w:val="00A26E0F"/>
    <w:rsid w:val="00A338BC"/>
    <w:rsid w:val="00A3393F"/>
    <w:rsid w:val="00A347A9"/>
    <w:rsid w:val="00A4455E"/>
    <w:rsid w:val="00A50272"/>
    <w:rsid w:val="00A51B04"/>
    <w:rsid w:val="00A54492"/>
    <w:rsid w:val="00A55D45"/>
    <w:rsid w:val="00A56F46"/>
    <w:rsid w:val="00A609C0"/>
    <w:rsid w:val="00A60D3E"/>
    <w:rsid w:val="00A60E53"/>
    <w:rsid w:val="00A60E5B"/>
    <w:rsid w:val="00A643A4"/>
    <w:rsid w:val="00A65F0D"/>
    <w:rsid w:val="00A67A76"/>
    <w:rsid w:val="00A74272"/>
    <w:rsid w:val="00A80B30"/>
    <w:rsid w:val="00A81B5E"/>
    <w:rsid w:val="00A82486"/>
    <w:rsid w:val="00A829BE"/>
    <w:rsid w:val="00A83B3F"/>
    <w:rsid w:val="00A84184"/>
    <w:rsid w:val="00A92B1B"/>
    <w:rsid w:val="00A9597B"/>
    <w:rsid w:val="00A95C1C"/>
    <w:rsid w:val="00A97F23"/>
    <w:rsid w:val="00AA1A29"/>
    <w:rsid w:val="00AA3191"/>
    <w:rsid w:val="00AA3F99"/>
    <w:rsid w:val="00AA41DA"/>
    <w:rsid w:val="00AA60D5"/>
    <w:rsid w:val="00AB1BB0"/>
    <w:rsid w:val="00AB1C1A"/>
    <w:rsid w:val="00AC197B"/>
    <w:rsid w:val="00AC29B0"/>
    <w:rsid w:val="00AC495C"/>
    <w:rsid w:val="00AD147E"/>
    <w:rsid w:val="00AD374E"/>
    <w:rsid w:val="00AE3066"/>
    <w:rsid w:val="00AE406C"/>
    <w:rsid w:val="00AE5FB5"/>
    <w:rsid w:val="00AE7ED9"/>
    <w:rsid w:val="00AF4199"/>
    <w:rsid w:val="00AF4AF4"/>
    <w:rsid w:val="00AF5A15"/>
    <w:rsid w:val="00AF63B0"/>
    <w:rsid w:val="00AF7083"/>
    <w:rsid w:val="00B0075F"/>
    <w:rsid w:val="00B01F5C"/>
    <w:rsid w:val="00B07AB7"/>
    <w:rsid w:val="00B110C5"/>
    <w:rsid w:val="00B12894"/>
    <w:rsid w:val="00B13C1B"/>
    <w:rsid w:val="00B15199"/>
    <w:rsid w:val="00B16718"/>
    <w:rsid w:val="00B17D92"/>
    <w:rsid w:val="00B20471"/>
    <w:rsid w:val="00B2264F"/>
    <w:rsid w:val="00B23389"/>
    <w:rsid w:val="00B237D4"/>
    <w:rsid w:val="00B23E09"/>
    <w:rsid w:val="00B2491B"/>
    <w:rsid w:val="00B26608"/>
    <w:rsid w:val="00B26AA7"/>
    <w:rsid w:val="00B33097"/>
    <w:rsid w:val="00B33156"/>
    <w:rsid w:val="00B332DC"/>
    <w:rsid w:val="00B3410C"/>
    <w:rsid w:val="00B3525C"/>
    <w:rsid w:val="00B367A5"/>
    <w:rsid w:val="00B41493"/>
    <w:rsid w:val="00B41F29"/>
    <w:rsid w:val="00B52C09"/>
    <w:rsid w:val="00B62CC3"/>
    <w:rsid w:val="00B80F31"/>
    <w:rsid w:val="00B82850"/>
    <w:rsid w:val="00B846DE"/>
    <w:rsid w:val="00B8549F"/>
    <w:rsid w:val="00B85555"/>
    <w:rsid w:val="00B91435"/>
    <w:rsid w:val="00B9351B"/>
    <w:rsid w:val="00B9445E"/>
    <w:rsid w:val="00B9658C"/>
    <w:rsid w:val="00B96824"/>
    <w:rsid w:val="00B9793D"/>
    <w:rsid w:val="00BA7414"/>
    <w:rsid w:val="00BB04D7"/>
    <w:rsid w:val="00BB29C6"/>
    <w:rsid w:val="00BB601A"/>
    <w:rsid w:val="00BC64BD"/>
    <w:rsid w:val="00BD42B8"/>
    <w:rsid w:val="00BD5324"/>
    <w:rsid w:val="00BE4AD1"/>
    <w:rsid w:val="00BE4E3F"/>
    <w:rsid w:val="00BE6633"/>
    <w:rsid w:val="00BE6F0C"/>
    <w:rsid w:val="00BF0B81"/>
    <w:rsid w:val="00BF3938"/>
    <w:rsid w:val="00BF77B7"/>
    <w:rsid w:val="00C0605D"/>
    <w:rsid w:val="00C1075B"/>
    <w:rsid w:val="00C11EEB"/>
    <w:rsid w:val="00C12081"/>
    <w:rsid w:val="00C16583"/>
    <w:rsid w:val="00C46EDD"/>
    <w:rsid w:val="00C54C2C"/>
    <w:rsid w:val="00C61D0E"/>
    <w:rsid w:val="00C636E7"/>
    <w:rsid w:val="00C65B1B"/>
    <w:rsid w:val="00C66372"/>
    <w:rsid w:val="00C67156"/>
    <w:rsid w:val="00C74BF5"/>
    <w:rsid w:val="00C763C6"/>
    <w:rsid w:val="00C76E46"/>
    <w:rsid w:val="00C84EE8"/>
    <w:rsid w:val="00C85688"/>
    <w:rsid w:val="00C86394"/>
    <w:rsid w:val="00C9068A"/>
    <w:rsid w:val="00C94A95"/>
    <w:rsid w:val="00CA75A4"/>
    <w:rsid w:val="00CB0CE7"/>
    <w:rsid w:val="00CB2A80"/>
    <w:rsid w:val="00CB495E"/>
    <w:rsid w:val="00CB4CBB"/>
    <w:rsid w:val="00CB6646"/>
    <w:rsid w:val="00CB6F9E"/>
    <w:rsid w:val="00CC1A50"/>
    <w:rsid w:val="00CC2376"/>
    <w:rsid w:val="00CC26A4"/>
    <w:rsid w:val="00CD0F29"/>
    <w:rsid w:val="00CD7109"/>
    <w:rsid w:val="00CF0C33"/>
    <w:rsid w:val="00CF259B"/>
    <w:rsid w:val="00CF2921"/>
    <w:rsid w:val="00CF6AAD"/>
    <w:rsid w:val="00D00959"/>
    <w:rsid w:val="00D0167B"/>
    <w:rsid w:val="00D030A1"/>
    <w:rsid w:val="00D035A3"/>
    <w:rsid w:val="00D06ED4"/>
    <w:rsid w:val="00D07467"/>
    <w:rsid w:val="00D07A31"/>
    <w:rsid w:val="00D1311A"/>
    <w:rsid w:val="00D17542"/>
    <w:rsid w:val="00D20525"/>
    <w:rsid w:val="00D22653"/>
    <w:rsid w:val="00D32253"/>
    <w:rsid w:val="00D3254E"/>
    <w:rsid w:val="00D34E35"/>
    <w:rsid w:val="00D4247A"/>
    <w:rsid w:val="00D44406"/>
    <w:rsid w:val="00D47A39"/>
    <w:rsid w:val="00D52CD0"/>
    <w:rsid w:val="00D53D6C"/>
    <w:rsid w:val="00D56F47"/>
    <w:rsid w:val="00D60673"/>
    <w:rsid w:val="00D61A7A"/>
    <w:rsid w:val="00D63A76"/>
    <w:rsid w:val="00D66F73"/>
    <w:rsid w:val="00D70DFF"/>
    <w:rsid w:val="00D74AB2"/>
    <w:rsid w:val="00D77F1B"/>
    <w:rsid w:val="00D818C7"/>
    <w:rsid w:val="00D82034"/>
    <w:rsid w:val="00D82AE1"/>
    <w:rsid w:val="00D835BC"/>
    <w:rsid w:val="00D87161"/>
    <w:rsid w:val="00D916BC"/>
    <w:rsid w:val="00D93012"/>
    <w:rsid w:val="00D936E2"/>
    <w:rsid w:val="00D9687F"/>
    <w:rsid w:val="00DA5A83"/>
    <w:rsid w:val="00DB3E18"/>
    <w:rsid w:val="00DB45FB"/>
    <w:rsid w:val="00DB78C8"/>
    <w:rsid w:val="00DC2311"/>
    <w:rsid w:val="00DC4CF3"/>
    <w:rsid w:val="00DD0217"/>
    <w:rsid w:val="00DD1413"/>
    <w:rsid w:val="00DD5169"/>
    <w:rsid w:val="00DD64A8"/>
    <w:rsid w:val="00DD7ECE"/>
    <w:rsid w:val="00DE0A12"/>
    <w:rsid w:val="00DE1522"/>
    <w:rsid w:val="00DE554B"/>
    <w:rsid w:val="00DE55FE"/>
    <w:rsid w:val="00DE6651"/>
    <w:rsid w:val="00DF2586"/>
    <w:rsid w:val="00E01B3E"/>
    <w:rsid w:val="00E01F5E"/>
    <w:rsid w:val="00E01F99"/>
    <w:rsid w:val="00E026A4"/>
    <w:rsid w:val="00E0303A"/>
    <w:rsid w:val="00E04B23"/>
    <w:rsid w:val="00E106E5"/>
    <w:rsid w:val="00E11B1E"/>
    <w:rsid w:val="00E1206E"/>
    <w:rsid w:val="00E13806"/>
    <w:rsid w:val="00E21420"/>
    <w:rsid w:val="00E22916"/>
    <w:rsid w:val="00E23709"/>
    <w:rsid w:val="00E23A28"/>
    <w:rsid w:val="00E24E3E"/>
    <w:rsid w:val="00E274A2"/>
    <w:rsid w:val="00E30F31"/>
    <w:rsid w:val="00E36471"/>
    <w:rsid w:val="00E3747F"/>
    <w:rsid w:val="00E37D9E"/>
    <w:rsid w:val="00E400B5"/>
    <w:rsid w:val="00E43CD6"/>
    <w:rsid w:val="00E4450F"/>
    <w:rsid w:val="00E469FC"/>
    <w:rsid w:val="00E476F4"/>
    <w:rsid w:val="00E63D7D"/>
    <w:rsid w:val="00E6536F"/>
    <w:rsid w:val="00E7054D"/>
    <w:rsid w:val="00E75339"/>
    <w:rsid w:val="00E76054"/>
    <w:rsid w:val="00E83307"/>
    <w:rsid w:val="00E83F31"/>
    <w:rsid w:val="00E84B9B"/>
    <w:rsid w:val="00E856FD"/>
    <w:rsid w:val="00E868F9"/>
    <w:rsid w:val="00E8763A"/>
    <w:rsid w:val="00E96103"/>
    <w:rsid w:val="00E969FD"/>
    <w:rsid w:val="00E96D56"/>
    <w:rsid w:val="00EA6132"/>
    <w:rsid w:val="00EB2AD5"/>
    <w:rsid w:val="00EB35D1"/>
    <w:rsid w:val="00EB4456"/>
    <w:rsid w:val="00EB61DB"/>
    <w:rsid w:val="00EC1D41"/>
    <w:rsid w:val="00EC3F39"/>
    <w:rsid w:val="00EC6599"/>
    <w:rsid w:val="00ED2292"/>
    <w:rsid w:val="00ED65F5"/>
    <w:rsid w:val="00ED7858"/>
    <w:rsid w:val="00EE0A9F"/>
    <w:rsid w:val="00EE0D37"/>
    <w:rsid w:val="00EE28DE"/>
    <w:rsid w:val="00EE3111"/>
    <w:rsid w:val="00EE52F8"/>
    <w:rsid w:val="00EF18EE"/>
    <w:rsid w:val="00EF2073"/>
    <w:rsid w:val="00EF338B"/>
    <w:rsid w:val="00EF3D2F"/>
    <w:rsid w:val="00EF691C"/>
    <w:rsid w:val="00F045E6"/>
    <w:rsid w:val="00F12DF3"/>
    <w:rsid w:val="00F13C30"/>
    <w:rsid w:val="00F274BF"/>
    <w:rsid w:val="00F30FDC"/>
    <w:rsid w:val="00F31610"/>
    <w:rsid w:val="00F31DB3"/>
    <w:rsid w:val="00F324C9"/>
    <w:rsid w:val="00F34301"/>
    <w:rsid w:val="00F366C1"/>
    <w:rsid w:val="00F371C7"/>
    <w:rsid w:val="00F379E8"/>
    <w:rsid w:val="00F40320"/>
    <w:rsid w:val="00F44598"/>
    <w:rsid w:val="00F459FE"/>
    <w:rsid w:val="00F45C55"/>
    <w:rsid w:val="00F47C50"/>
    <w:rsid w:val="00F50414"/>
    <w:rsid w:val="00F51D47"/>
    <w:rsid w:val="00F52396"/>
    <w:rsid w:val="00F5327F"/>
    <w:rsid w:val="00F54FBC"/>
    <w:rsid w:val="00F61BA6"/>
    <w:rsid w:val="00F633C8"/>
    <w:rsid w:val="00F6402E"/>
    <w:rsid w:val="00F64EB3"/>
    <w:rsid w:val="00F65829"/>
    <w:rsid w:val="00F71E18"/>
    <w:rsid w:val="00F73DD8"/>
    <w:rsid w:val="00F754BF"/>
    <w:rsid w:val="00F75FC0"/>
    <w:rsid w:val="00F7747F"/>
    <w:rsid w:val="00F81B71"/>
    <w:rsid w:val="00F81C4A"/>
    <w:rsid w:val="00F855C8"/>
    <w:rsid w:val="00F91098"/>
    <w:rsid w:val="00F94DF9"/>
    <w:rsid w:val="00F97457"/>
    <w:rsid w:val="00FA1EB9"/>
    <w:rsid w:val="00FA2943"/>
    <w:rsid w:val="00FB052B"/>
    <w:rsid w:val="00FB0C97"/>
    <w:rsid w:val="00FB3A94"/>
    <w:rsid w:val="00FB7437"/>
    <w:rsid w:val="00FC01E6"/>
    <w:rsid w:val="00FC0DCC"/>
    <w:rsid w:val="00FC2E7C"/>
    <w:rsid w:val="00FC4FE9"/>
    <w:rsid w:val="00FC58D5"/>
    <w:rsid w:val="00FC5DED"/>
    <w:rsid w:val="00FC5FD6"/>
    <w:rsid w:val="00FC7193"/>
    <w:rsid w:val="00FC7628"/>
    <w:rsid w:val="00FE0FD4"/>
    <w:rsid w:val="00FE3842"/>
    <w:rsid w:val="00FE576F"/>
    <w:rsid w:val="00FF33A8"/>
    <w:rsid w:val="00FF70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DDCB2"/>
  <w15:docId w15:val="{BF632FBD-CD39-47BF-99CA-F38E6F7D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C074A"/>
    <w:pPr>
      <w:jc w:val="both"/>
    </w:pPr>
    <w:rPr>
      <w:sz w:val="24"/>
      <w:szCs w:val="24"/>
      <w:lang w:eastAsia="en-US"/>
    </w:rPr>
  </w:style>
  <w:style w:type="paragraph" w:styleId="Cmsor1">
    <w:name w:val="heading 1"/>
    <w:basedOn w:val="Norml"/>
    <w:link w:val="Cmsor1Char"/>
    <w:uiPriority w:val="9"/>
    <w:qFormat/>
    <w:rsid w:val="003E5E3B"/>
    <w:pPr>
      <w:spacing w:before="100" w:beforeAutospacing="1" w:after="100" w:afterAutospacing="1"/>
      <w:jc w:val="left"/>
      <w:outlineLvl w:val="0"/>
    </w:pPr>
    <w:rPr>
      <w:rFonts w:eastAsia="Times New Roman"/>
      <w:b/>
      <w:bCs/>
      <w:kern w:val="36"/>
      <w:sz w:val="48"/>
      <w:szCs w:val="48"/>
      <w:lang w:eastAsia="hu-HU"/>
    </w:rPr>
  </w:style>
  <w:style w:type="paragraph" w:styleId="Cmsor3">
    <w:name w:val="heading 3"/>
    <w:basedOn w:val="Norml"/>
    <w:next w:val="Norml"/>
    <w:link w:val="Cmsor3Char"/>
    <w:uiPriority w:val="9"/>
    <w:semiHidden/>
    <w:unhideWhenUsed/>
    <w:qFormat/>
    <w:rsid w:val="004C17E0"/>
    <w:pPr>
      <w:keepNext/>
      <w:keepLines/>
      <w:spacing w:before="40"/>
      <w:outlineLvl w:val="2"/>
    </w:pPr>
    <w:rPr>
      <w:rFonts w:asciiTheme="majorHAnsi" w:eastAsiaTheme="majorEastAsia" w:hAnsiTheme="majorHAnsi" w:cstheme="majorBidi"/>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63499C"/>
    <w:rPr>
      <w:rFonts w:ascii="Tahoma" w:hAnsi="Tahoma" w:cs="Tahoma"/>
      <w:sz w:val="16"/>
      <w:szCs w:val="16"/>
    </w:rPr>
  </w:style>
  <w:style w:type="character" w:customStyle="1" w:styleId="BuborkszvegChar">
    <w:name w:val="Buborékszöveg Char"/>
    <w:basedOn w:val="Bekezdsalapbettpusa"/>
    <w:link w:val="Buborkszveg"/>
    <w:uiPriority w:val="99"/>
    <w:semiHidden/>
    <w:rsid w:val="0063499C"/>
    <w:rPr>
      <w:rFonts w:ascii="Tahoma" w:hAnsi="Tahoma" w:cs="Tahoma"/>
      <w:sz w:val="16"/>
      <w:szCs w:val="16"/>
      <w:lang w:eastAsia="en-US"/>
    </w:rPr>
  </w:style>
  <w:style w:type="paragraph" w:styleId="NormlWeb">
    <w:name w:val="Normal (Web)"/>
    <w:basedOn w:val="Norml"/>
    <w:uiPriority w:val="99"/>
    <w:semiHidden/>
    <w:unhideWhenUsed/>
    <w:rsid w:val="00D61A7A"/>
    <w:pPr>
      <w:spacing w:before="100" w:beforeAutospacing="1" w:after="100" w:afterAutospacing="1"/>
      <w:jc w:val="left"/>
    </w:pPr>
    <w:rPr>
      <w:rFonts w:eastAsia="Times New Roman"/>
      <w:lang w:eastAsia="hu-HU"/>
    </w:rPr>
  </w:style>
  <w:style w:type="paragraph" w:customStyle="1" w:styleId="np">
    <w:name w:val="np"/>
    <w:basedOn w:val="Norml"/>
    <w:rsid w:val="00D61A7A"/>
    <w:pPr>
      <w:spacing w:before="100" w:beforeAutospacing="1" w:after="100" w:afterAutospacing="1"/>
      <w:jc w:val="left"/>
    </w:pPr>
    <w:rPr>
      <w:rFonts w:eastAsia="Times New Roman"/>
      <w:lang w:eastAsia="hu-HU"/>
    </w:rPr>
  </w:style>
  <w:style w:type="paragraph" w:styleId="lfej">
    <w:name w:val="header"/>
    <w:basedOn w:val="Norml"/>
    <w:link w:val="lfejChar"/>
    <w:uiPriority w:val="99"/>
    <w:unhideWhenUsed/>
    <w:rsid w:val="004B411D"/>
    <w:pPr>
      <w:tabs>
        <w:tab w:val="center" w:pos="4536"/>
        <w:tab w:val="right" w:pos="9072"/>
      </w:tabs>
    </w:pPr>
  </w:style>
  <w:style w:type="character" w:customStyle="1" w:styleId="lfejChar">
    <w:name w:val="Élőfej Char"/>
    <w:basedOn w:val="Bekezdsalapbettpusa"/>
    <w:link w:val="lfej"/>
    <w:uiPriority w:val="99"/>
    <w:rsid w:val="004B411D"/>
    <w:rPr>
      <w:sz w:val="24"/>
      <w:szCs w:val="24"/>
      <w:lang w:eastAsia="en-US"/>
    </w:rPr>
  </w:style>
  <w:style w:type="paragraph" w:styleId="llb">
    <w:name w:val="footer"/>
    <w:basedOn w:val="Norml"/>
    <w:link w:val="llbChar"/>
    <w:uiPriority w:val="99"/>
    <w:unhideWhenUsed/>
    <w:rsid w:val="004B411D"/>
    <w:pPr>
      <w:tabs>
        <w:tab w:val="center" w:pos="4536"/>
        <w:tab w:val="right" w:pos="9072"/>
      </w:tabs>
    </w:pPr>
  </w:style>
  <w:style w:type="character" w:customStyle="1" w:styleId="llbChar">
    <w:name w:val="Élőláb Char"/>
    <w:basedOn w:val="Bekezdsalapbettpusa"/>
    <w:link w:val="llb"/>
    <w:uiPriority w:val="99"/>
    <w:rsid w:val="004B411D"/>
    <w:rPr>
      <w:sz w:val="24"/>
      <w:szCs w:val="24"/>
      <w:lang w:eastAsia="en-US"/>
    </w:rPr>
  </w:style>
  <w:style w:type="character" w:styleId="Hiperhivatkozs">
    <w:name w:val="Hyperlink"/>
    <w:uiPriority w:val="99"/>
    <w:rsid w:val="00484541"/>
    <w:rPr>
      <w:rFonts w:cs="Times New Roman"/>
      <w:color w:val="0000FF"/>
      <w:u w:val="single"/>
    </w:rPr>
  </w:style>
  <w:style w:type="character" w:styleId="Jegyzethivatkozs">
    <w:name w:val="annotation reference"/>
    <w:basedOn w:val="Bekezdsalapbettpusa"/>
    <w:uiPriority w:val="99"/>
    <w:unhideWhenUsed/>
    <w:qFormat/>
    <w:rsid w:val="00B9658C"/>
    <w:rPr>
      <w:sz w:val="16"/>
      <w:szCs w:val="16"/>
    </w:rPr>
  </w:style>
  <w:style w:type="paragraph" w:styleId="Jegyzetszveg">
    <w:name w:val="annotation text"/>
    <w:aliases w:val="Char Char Char Char1,Char Char3,Char Char Char Char,Char1 Char1, Char Char Char, Char Char,Comment Text Char, Char Char Char Char Char, Char Char Char Char1,Char Char Char"/>
    <w:basedOn w:val="Norml"/>
    <w:link w:val="JegyzetszvegChar"/>
    <w:uiPriority w:val="99"/>
    <w:unhideWhenUsed/>
    <w:qFormat/>
    <w:rsid w:val="00B9658C"/>
    <w:rPr>
      <w:sz w:val="20"/>
      <w:szCs w:val="20"/>
    </w:rPr>
  </w:style>
  <w:style w:type="character" w:customStyle="1" w:styleId="JegyzetszvegChar">
    <w:name w:val="Jegyzetszöveg Char"/>
    <w:aliases w:val="Char Char Char Char1 Char,Char Char3 Char,Char Char Char Char Char,Char1 Char1 Char, Char Char Char Char, Char Char Char1,Comment Text Char Char, Char Char Char Char Char Char, Char Char Char Char1 Char,Char Char Char Char2"/>
    <w:basedOn w:val="Bekezdsalapbettpusa"/>
    <w:link w:val="Jegyzetszveg"/>
    <w:uiPriority w:val="99"/>
    <w:qFormat/>
    <w:rsid w:val="00B9658C"/>
    <w:rPr>
      <w:lang w:eastAsia="en-US"/>
    </w:rPr>
  </w:style>
  <w:style w:type="paragraph" w:styleId="Megjegyzstrgya">
    <w:name w:val="annotation subject"/>
    <w:basedOn w:val="Jegyzetszveg"/>
    <w:next w:val="Jegyzetszveg"/>
    <w:link w:val="MegjegyzstrgyaChar"/>
    <w:uiPriority w:val="99"/>
    <w:semiHidden/>
    <w:unhideWhenUsed/>
    <w:rsid w:val="00B9658C"/>
    <w:rPr>
      <w:b/>
      <w:bCs/>
    </w:rPr>
  </w:style>
  <w:style w:type="character" w:customStyle="1" w:styleId="MegjegyzstrgyaChar">
    <w:name w:val="Megjegyzés tárgya Char"/>
    <w:basedOn w:val="JegyzetszvegChar"/>
    <w:link w:val="Megjegyzstrgya"/>
    <w:uiPriority w:val="99"/>
    <w:semiHidden/>
    <w:rsid w:val="00B9658C"/>
    <w:rPr>
      <w:b/>
      <w:bCs/>
      <w:lang w:eastAsia="en-US"/>
    </w:rPr>
  </w:style>
  <w:style w:type="paragraph" w:styleId="Vltozat">
    <w:name w:val="Revision"/>
    <w:hidden/>
    <w:uiPriority w:val="99"/>
    <w:semiHidden/>
    <w:rsid w:val="00B9658C"/>
    <w:rPr>
      <w:sz w:val="24"/>
      <w:szCs w:val="24"/>
      <w:lang w:eastAsia="en-US"/>
    </w:rPr>
  </w:style>
  <w:style w:type="paragraph" w:customStyle="1" w:styleId="Default">
    <w:name w:val="Default"/>
    <w:rsid w:val="00D0167B"/>
    <w:pPr>
      <w:autoSpaceDE w:val="0"/>
      <w:autoSpaceDN w:val="0"/>
      <w:adjustRightInd w:val="0"/>
    </w:pPr>
    <w:rPr>
      <w:rFonts w:ascii="Liberation Sans" w:hAnsi="Liberation Sans" w:cs="Liberation Sans"/>
      <w:color w:val="000000"/>
      <w:sz w:val="24"/>
      <w:szCs w:val="24"/>
    </w:rPr>
  </w:style>
  <w:style w:type="paragraph" w:styleId="Lbjegyzetszveg">
    <w:name w:val="footnote text"/>
    <w:basedOn w:val="Norml"/>
    <w:link w:val="LbjegyzetszvegChar"/>
    <w:uiPriority w:val="99"/>
    <w:semiHidden/>
    <w:unhideWhenUsed/>
    <w:rsid w:val="00485AFD"/>
    <w:rPr>
      <w:sz w:val="20"/>
      <w:szCs w:val="20"/>
    </w:rPr>
  </w:style>
  <w:style w:type="character" w:customStyle="1" w:styleId="LbjegyzetszvegChar">
    <w:name w:val="Lábjegyzetszöveg Char"/>
    <w:basedOn w:val="Bekezdsalapbettpusa"/>
    <w:link w:val="Lbjegyzetszveg"/>
    <w:uiPriority w:val="99"/>
    <w:semiHidden/>
    <w:rsid w:val="00485AFD"/>
    <w:rPr>
      <w:lang w:eastAsia="en-US"/>
    </w:rPr>
  </w:style>
  <w:style w:type="character" w:customStyle="1" w:styleId="vesszozes">
    <w:name w:val="vesszozes"/>
    <w:basedOn w:val="Bekezdsalapbettpusa"/>
    <w:rsid w:val="0092371D"/>
  </w:style>
  <w:style w:type="character" w:customStyle="1" w:styleId="Feloldatlanmegemlts1">
    <w:name w:val="Feloldatlan megemlítés1"/>
    <w:basedOn w:val="Bekezdsalapbettpusa"/>
    <w:uiPriority w:val="99"/>
    <w:semiHidden/>
    <w:unhideWhenUsed/>
    <w:rsid w:val="0092371D"/>
    <w:rPr>
      <w:color w:val="605E5C"/>
      <w:shd w:val="clear" w:color="auto" w:fill="E1DFDD"/>
    </w:rPr>
  </w:style>
  <w:style w:type="paragraph" w:styleId="Listaszerbekezds">
    <w:name w:val="List Paragraph"/>
    <w:aliases w:val="Welt L,lista_2,Színes lista – 1. jelölőszín1,Bullet_1"/>
    <w:basedOn w:val="Norml"/>
    <w:link w:val="ListaszerbekezdsChar"/>
    <w:uiPriority w:val="34"/>
    <w:qFormat/>
    <w:rsid w:val="00E469FC"/>
    <w:pPr>
      <w:ind w:left="720"/>
      <w:contextualSpacing/>
    </w:pPr>
  </w:style>
  <w:style w:type="character" w:customStyle="1" w:styleId="ListaszerbekezdsChar">
    <w:name w:val="Listaszerű bekezdés Char"/>
    <w:aliases w:val="Welt L Char,lista_2 Char,Színes lista – 1. jelölőszín1 Char,Bullet_1 Char"/>
    <w:link w:val="Listaszerbekezds"/>
    <w:uiPriority w:val="34"/>
    <w:qFormat/>
    <w:locked/>
    <w:rsid w:val="00834711"/>
    <w:rPr>
      <w:sz w:val="24"/>
      <w:szCs w:val="24"/>
      <w:lang w:eastAsia="en-US"/>
    </w:rPr>
  </w:style>
  <w:style w:type="paragraph" w:customStyle="1" w:styleId="Normal1">
    <w:name w:val="Normal1"/>
    <w:uiPriority w:val="99"/>
    <w:qFormat/>
    <w:rsid w:val="00AD374E"/>
    <w:pPr>
      <w:suppressAutoHyphens/>
      <w:spacing w:after="200" w:line="276" w:lineRule="auto"/>
      <w:textAlignment w:val="baseline"/>
    </w:pPr>
    <w:rPr>
      <w:rFonts w:ascii="Calibri" w:eastAsia="SimSun" w:hAnsi="Calibri" w:cs="Calibri"/>
      <w:color w:val="00000A"/>
      <w:sz w:val="24"/>
      <w:szCs w:val="22"/>
      <w:lang w:eastAsia="ar-SA"/>
    </w:rPr>
  </w:style>
  <w:style w:type="paragraph" w:customStyle="1" w:styleId="yiv9653126968msonormal">
    <w:name w:val="yiv9653126968msonormal"/>
    <w:basedOn w:val="Norml"/>
    <w:rsid w:val="00746574"/>
    <w:pPr>
      <w:spacing w:before="100" w:beforeAutospacing="1" w:after="100" w:afterAutospacing="1"/>
      <w:jc w:val="left"/>
    </w:pPr>
    <w:rPr>
      <w:rFonts w:eastAsia="Times New Roman"/>
      <w:lang w:eastAsia="hu-HU"/>
    </w:rPr>
  </w:style>
  <w:style w:type="character" w:customStyle="1" w:styleId="Cmsor1Char">
    <w:name w:val="Címsor 1 Char"/>
    <w:basedOn w:val="Bekezdsalapbettpusa"/>
    <w:link w:val="Cmsor1"/>
    <w:uiPriority w:val="9"/>
    <w:rsid w:val="003E5E3B"/>
    <w:rPr>
      <w:rFonts w:eastAsia="Times New Roman"/>
      <w:b/>
      <w:bCs/>
      <w:kern w:val="36"/>
      <w:sz w:val="48"/>
      <w:szCs w:val="48"/>
    </w:rPr>
  </w:style>
  <w:style w:type="character" w:customStyle="1" w:styleId="Cmsor3Char">
    <w:name w:val="Címsor 3 Char"/>
    <w:basedOn w:val="Bekezdsalapbettpusa"/>
    <w:link w:val="Cmsor3"/>
    <w:uiPriority w:val="9"/>
    <w:semiHidden/>
    <w:rsid w:val="004C17E0"/>
    <w:rPr>
      <w:rFonts w:asciiTheme="majorHAnsi" w:eastAsiaTheme="majorEastAsia" w:hAnsiTheme="majorHAnsi" w:cstheme="majorBidi"/>
      <w:color w:val="243F60" w:themeColor="accent1" w:themeShade="7F"/>
      <w:sz w:val="24"/>
      <w:szCs w:val="24"/>
      <w:lang w:eastAsia="en-US"/>
    </w:rPr>
  </w:style>
  <w:style w:type="paragraph" w:customStyle="1" w:styleId="yiv4748105673msonormal">
    <w:name w:val="yiv4748105673msonormal"/>
    <w:basedOn w:val="Norml"/>
    <w:rsid w:val="004C17E0"/>
    <w:pPr>
      <w:spacing w:before="100" w:beforeAutospacing="1" w:after="100" w:afterAutospacing="1"/>
      <w:jc w:val="left"/>
    </w:pPr>
    <w:rPr>
      <w:rFonts w:eastAsia="Times New Roman"/>
      <w:lang w:eastAsia="hu-HU"/>
    </w:rPr>
  </w:style>
  <w:style w:type="paragraph" w:customStyle="1" w:styleId="yiv4748105673msolistparagraph">
    <w:name w:val="yiv4748105673msolistparagraph"/>
    <w:basedOn w:val="Norml"/>
    <w:rsid w:val="004C17E0"/>
    <w:pPr>
      <w:spacing w:before="100" w:beforeAutospacing="1" w:after="100" w:afterAutospacing="1"/>
      <w:jc w:val="left"/>
    </w:pPr>
    <w:rPr>
      <w:rFonts w:eastAsia="Times New Roman"/>
      <w:lang w:eastAsia="hu-HU"/>
    </w:rPr>
  </w:style>
  <w:style w:type="character" w:customStyle="1" w:styleId="Feloldatlanmegemlts2">
    <w:name w:val="Feloldatlan megemlítés2"/>
    <w:basedOn w:val="Bekezdsalapbettpusa"/>
    <w:uiPriority w:val="99"/>
    <w:semiHidden/>
    <w:unhideWhenUsed/>
    <w:rsid w:val="00E96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39188">
      <w:bodyDiv w:val="1"/>
      <w:marLeft w:val="0"/>
      <w:marRight w:val="0"/>
      <w:marTop w:val="0"/>
      <w:marBottom w:val="0"/>
      <w:divBdr>
        <w:top w:val="none" w:sz="0" w:space="0" w:color="auto"/>
        <w:left w:val="none" w:sz="0" w:space="0" w:color="auto"/>
        <w:bottom w:val="none" w:sz="0" w:space="0" w:color="auto"/>
        <w:right w:val="none" w:sz="0" w:space="0" w:color="auto"/>
      </w:divBdr>
      <w:divsChild>
        <w:div w:id="841353874">
          <w:marLeft w:val="0"/>
          <w:marRight w:val="0"/>
          <w:marTop w:val="0"/>
          <w:marBottom w:val="0"/>
          <w:divBdr>
            <w:top w:val="none" w:sz="0" w:space="0" w:color="auto"/>
            <w:left w:val="none" w:sz="0" w:space="0" w:color="auto"/>
            <w:bottom w:val="none" w:sz="0" w:space="0" w:color="auto"/>
            <w:right w:val="none" w:sz="0" w:space="0" w:color="auto"/>
          </w:divBdr>
          <w:divsChild>
            <w:div w:id="1626353855">
              <w:marLeft w:val="0"/>
              <w:marRight w:val="0"/>
              <w:marTop w:val="0"/>
              <w:marBottom w:val="0"/>
              <w:divBdr>
                <w:top w:val="none" w:sz="0" w:space="0" w:color="auto"/>
                <w:left w:val="none" w:sz="0" w:space="0" w:color="auto"/>
                <w:bottom w:val="none" w:sz="0" w:space="0" w:color="auto"/>
                <w:right w:val="none" w:sz="0" w:space="0" w:color="auto"/>
              </w:divBdr>
              <w:divsChild>
                <w:div w:id="51589606">
                  <w:marLeft w:val="0"/>
                  <w:marRight w:val="0"/>
                  <w:marTop w:val="0"/>
                  <w:marBottom w:val="0"/>
                  <w:divBdr>
                    <w:top w:val="none" w:sz="0" w:space="0" w:color="auto"/>
                    <w:left w:val="none" w:sz="0" w:space="0" w:color="auto"/>
                    <w:bottom w:val="none" w:sz="0" w:space="0" w:color="auto"/>
                    <w:right w:val="none" w:sz="0" w:space="0" w:color="auto"/>
                  </w:divBdr>
                  <w:divsChild>
                    <w:div w:id="17072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653970">
          <w:marLeft w:val="0"/>
          <w:marRight w:val="0"/>
          <w:marTop w:val="0"/>
          <w:marBottom w:val="0"/>
          <w:divBdr>
            <w:top w:val="none" w:sz="0" w:space="0" w:color="auto"/>
            <w:left w:val="none" w:sz="0" w:space="0" w:color="auto"/>
            <w:bottom w:val="none" w:sz="0" w:space="0" w:color="auto"/>
            <w:right w:val="none" w:sz="0" w:space="0" w:color="auto"/>
          </w:divBdr>
          <w:divsChild>
            <w:div w:id="93677116">
              <w:marLeft w:val="0"/>
              <w:marRight w:val="0"/>
              <w:marTop w:val="0"/>
              <w:marBottom w:val="0"/>
              <w:divBdr>
                <w:top w:val="none" w:sz="0" w:space="0" w:color="auto"/>
                <w:left w:val="none" w:sz="0" w:space="0" w:color="auto"/>
                <w:bottom w:val="none" w:sz="0" w:space="0" w:color="auto"/>
                <w:right w:val="none" w:sz="0" w:space="0" w:color="auto"/>
              </w:divBdr>
            </w:div>
            <w:div w:id="841816504">
              <w:marLeft w:val="0"/>
              <w:marRight w:val="0"/>
              <w:marTop w:val="0"/>
              <w:marBottom w:val="0"/>
              <w:divBdr>
                <w:top w:val="none" w:sz="0" w:space="0" w:color="auto"/>
                <w:left w:val="none" w:sz="0" w:space="0" w:color="auto"/>
                <w:bottom w:val="none" w:sz="0" w:space="0" w:color="auto"/>
                <w:right w:val="none" w:sz="0" w:space="0" w:color="auto"/>
              </w:divBdr>
            </w:div>
          </w:divsChild>
        </w:div>
        <w:div w:id="388698864">
          <w:marLeft w:val="0"/>
          <w:marRight w:val="0"/>
          <w:marTop w:val="0"/>
          <w:marBottom w:val="0"/>
          <w:divBdr>
            <w:top w:val="none" w:sz="0" w:space="0" w:color="auto"/>
            <w:left w:val="none" w:sz="0" w:space="0" w:color="auto"/>
            <w:bottom w:val="none" w:sz="0" w:space="0" w:color="auto"/>
            <w:right w:val="none" w:sz="0" w:space="0" w:color="auto"/>
          </w:divBdr>
        </w:div>
      </w:divsChild>
    </w:div>
    <w:div w:id="46489425">
      <w:bodyDiv w:val="1"/>
      <w:marLeft w:val="0"/>
      <w:marRight w:val="0"/>
      <w:marTop w:val="0"/>
      <w:marBottom w:val="0"/>
      <w:divBdr>
        <w:top w:val="none" w:sz="0" w:space="0" w:color="auto"/>
        <w:left w:val="none" w:sz="0" w:space="0" w:color="auto"/>
        <w:bottom w:val="none" w:sz="0" w:space="0" w:color="auto"/>
        <w:right w:val="none" w:sz="0" w:space="0" w:color="auto"/>
      </w:divBdr>
    </w:div>
    <w:div w:id="47801924">
      <w:bodyDiv w:val="1"/>
      <w:marLeft w:val="0"/>
      <w:marRight w:val="0"/>
      <w:marTop w:val="0"/>
      <w:marBottom w:val="0"/>
      <w:divBdr>
        <w:top w:val="none" w:sz="0" w:space="0" w:color="auto"/>
        <w:left w:val="none" w:sz="0" w:space="0" w:color="auto"/>
        <w:bottom w:val="none" w:sz="0" w:space="0" w:color="auto"/>
        <w:right w:val="none" w:sz="0" w:space="0" w:color="auto"/>
      </w:divBdr>
    </w:div>
    <w:div w:id="83385512">
      <w:bodyDiv w:val="1"/>
      <w:marLeft w:val="0"/>
      <w:marRight w:val="0"/>
      <w:marTop w:val="0"/>
      <w:marBottom w:val="0"/>
      <w:divBdr>
        <w:top w:val="none" w:sz="0" w:space="0" w:color="auto"/>
        <w:left w:val="none" w:sz="0" w:space="0" w:color="auto"/>
        <w:bottom w:val="none" w:sz="0" w:space="0" w:color="auto"/>
        <w:right w:val="none" w:sz="0" w:space="0" w:color="auto"/>
      </w:divBdr>
    </w:div>
    <w:div w:id="149835690">
      <w:bodyDiv w:val="1"/>
      <w:marLeft w:val="0"/>
      <w:marRight w:val="0"/>
      <w:marTop w:val="0"/>
      <w:marBottom w:val="0"/>
      <w:divBdr>
        <w:top w:val="none" w:sz="0" w:space="0" w:color="auto"/>
        <w:left w:val="none" w:sz="0" w:space="0" w:color="auto"/>
        <w:bottom w:val="none" w:sz="0" w:space="0" w:color="auto"/>
        <w:right w:val="none" w:sz="0" w:space="0" w:color="auto"/>
      </w:divBdr>
    </w:div>
    <w:div w:id="359283821">
      <w:bodyDiv w:val="1"/>
      <w:marLeft w:val="0"/>
      <w:marRight w:val="0"/>
      <w:marTop w:val="0"/>
      <w:marBottom w:val="0"/>
      <w:divBdr>
        <w:top w:val="none" w:sz="0" w:space="0" w:color="auto"/>
        <w:left w:val="none" w:sz="0" w:space="0" w:color="auto"/>
        <w:bottom w:val="none" w:sz="0" w:space="0" w:color="auto"/>
        <w:right w:val="none" w:sz="0" w:space="0" w:color="auto"/>
      </w:divBdr>
    </w:div>
    <w:div w:id="364868916">
      <w:bodyDiv w:val="1"/>
      <w:marLeft w:val="0"/>
      <w:marRight w:val="0"/>
      <w:marTop w:val="0"/>
      <w:marBottom w:val="0"/>
      <w:divBdr>
        <w:top w:val="none" w:sz="0" w:space="0" w:color="auto"/>
        <w:left w:val="none" w:sz="0" w:space="0" w:color="auto"/>
        <w:bottom w:val="none" w:sz="0" w:space="0" w:color="auto"/>
        <w:right w:val="none" w:sz="0" w:space="0" w:color="auto"/>
      </w:divBdr>
    </w:div>
    <w:div w:id="402262009">
      <w:bodyDiv w:val="1"/>
      <w:marLeft w:val="0"/>
      <w:marRight w:val="0"/>
      <w:marTop w:val="0"/>
      <w:marBottom w:val="0"/>
      <w:divBdr>
        <w:top w:val="none" w:sz="0" w:space="0" w:color="auto"/>
        <w:left w:val="none" w:sz="0" w:space="0" w:color="auto"/>
        <w:bottom w:val="none" w:sz="0" w:space="0" w:color="auto"/>
        <w:right w:val="none" w:sz="0" w:space="0" w:color="auto"/>
      </w:divBdr>
    </w:div>
    <w:div w:id="862208397">
      <w:bodyDiv w:val="1"/>
      <w:marLeft w:val="0"/>
      <w:marRight w:val="0"/>
      <w:marTop w:val="0"/>
      <w:marBottom w:val="0"/>
      <w:divBdr>
        <w:top w:val="none" w:sz="0" w:space="0" w:color="auto"/>
        <w:left w:val="none" w:sz="0" w:space="0" w:color="auto"/>
        <w:bottom w:val="none" w:sz="0" w:space="0" w:color="auto"/>
        <w:right w:val="none" w:sz="0" w:space="0" w:color="auto"/>
      </w:divBdr>
    </w:div>
    <w:div w:id="1459646578">
      <w:bodyDiv w:val="1"/>
      <w:marLeft w:val="0"/>
      <w:marRight w:val="0"/>
      <w:marTop w:val="0"/>
      <w:marBottom w:val="0"/>
      <w:divBdr>
        <w:top w:val="none" w:sz="0" w:space="0" w:color="auto"/>
        <w:left w:val="none" w:sz="0" w:space="0" w:color="auto"/>
        <w:bottom w:val="none" w:sz="0" w:space="0" w:color="auto"/>
        <w:right w:val="none" w:sz="0" w:space="0" w:color="auto"/>
      </w:divBdr>
      <w:divsChild>
        <w:div w:id="1134831089">
          <w:marLeft w:val="0"/>
          <w:marRight w:val="0"/>
          <w:marTop w:val="0"/>
          <w:marBottom w:val="0"/>
          <w:divBdr>
            <w:top w:val="none" w:sz="0" w:space="0" w:color="auto"/>
            <w:left w:val="none" w:sz="0" w:space="0" w:color="auto"/>
            <w:bottom w:val="single" w:sz="8" w:space="1" w:color="auto"/>
            <w:right w:val="none" w:sz="0" w:space="0" w:color="auto"/>
          </w:divBdr>
        </w:div>
        <w:div w:id="618147789">
          <w:marLeft w:val="0"/>
          <w:marRight w:val="0"/>
          <w:marTop w:val="0"/>
          <w:marBottom w:val="0"/>
          <w:divBdr>
            <w:top w:val="none" w:sz="0" w:space="0" w:color="auto"/>
            <w:left w:val="none" w:sz="0" w:space="0" w:color="auto"/>
            <w:bottom w:val="single" w:sz="8" w:space="1" w:color="auto"/>
            <w:right w:val="none" w:sz="0" w:space="0" w:color="auto"/>
          </w:divBdr>
        </w:div>
      </w:divsChild>
    </w:div>
    <w:div w:id="1559247721">
      <w:bodyDiv w:val="1"/>
      <w:marLeft w:val="0"/>
      <w:marRight w:val="0"/>
      <w:marTop w:val="0"/>
      <w:marBottom w:val="0"/>
      <w:divBdr>
        <w:top w:val="none" w:sz="0" w:space="0" w:color="auto"/>
        <w:left w:val="none" w:sz="0" w:space="0" w:color="auto"/>
        <w:bottom w:val="none" w:sz="0" w:space="0" w:color="auto"/>
        <w:right w:val="none" w:sz="0" w:space="0" w:color="auto"/>
      </w:divBdr>
    </w:div>
    <w:div w:id="1647317572">
      <w:bodyDiv w:val="1"/>
      <w:marLeft w:val="0"/>
      <w:marRight w:val="0"/>
      <w:marTop w:val="0"/>
      <w:marBottom w:val="0"/>
      <w:divBdr>
        <w:top w:val="none" w:sz="0" w:space="0" w:color="auto"/>
        <w:left w:val="none" w:sz="0" w:space="0" w:color="auto"/>
        <w:bottom w:val="none" w:sz="0" w:space="0" w:color="auto"/>
        <w:right w:val="none" w:sz="0" w:space="0" w:color="auto"/>
      </w:divBdr>
    </w:div>
    <w:div w:id="190775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kr.gov.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1623C-2768-47A1-AC5F-E74E06050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5474</Words>
  <Characters>37775</Characters>
  <Application>Microsoft Office Word</Application>
  <DocSecurity>0</DocSecurity>
  <Lines>314</Lines>
  <Paragraphs>86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aberethalmi</dc:creator>
  <cp:lastModifiedBy>Piri Petra</cp:lastModifiedBy>
  <cp:revision>2</cp:revision>
  <dcterms:created xsi:type="dcterms:W3CDTF">2025-02-20T08:44:00Z</dcterms:created>
  <dcterms:modified xsi:type="dcterms:W3CDTF">2025-02-20T08:44:00Z</dcterms:modified>
</cp:coreProperties>
</file>