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F8FB8" w14:textId="77777777" w:rsidR="00FD0E09" w:rsidRPr="00305A9A" w:rsidRDefault="00FD0E09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1A0D" wp14:editId="64C0422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EA045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1A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17EA045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B6E5C7" wp14:editId="0999D6B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546E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E5C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1D7546E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DFE25" wp14:editId="129BB3FA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BFE0" w14:textId="77777777" w:rsidR="00FD0E09" w:rsidRDefault="00FD0E09" w:rsidP="00FD0E09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0D1E0AA" wp14:editId="4EA4B6BE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FE25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3CCEBFE0" w14:textId="77777777" w:rsidR="00FD0E09" w:rsidRDefault="00FD0E09" w:rsidP="00FD0E09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40D1E0AA" wp14:editId="4EA4B6BE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A542BE6" wp14:editId="0A250B9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380D3" w14:textId="77777777" w:rsidR="00FD0E09" w:rsidRDefault="00FD0E09" w:rsidP="00FD0E09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9546E1B" wp14:editId="4710D31B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2BE6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200380D3" w14:textId="77777777" w:rsidR="00FD0E09" w:rsidRDefault="00FD0E09" w:rsidP="00FD0E09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49546E1B" wp14:editId="4710D31B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B968AD" w14:textId="77777777"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3EF17ECD" w14:textId="77777777"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519A6307" w14:textId="77777777"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6F8660E3" w14:textId="4FA8DEE7"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9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261E377F" w14:textId="4C878287" w:rsidR="00C36D96" w:rsidRPr="000A7D38" w:rsidRDefault="00FD0E09" w:rsidP="000A7D38">
      <w:pPr>
        <w:pStyle w:val="Alcm"/>
        <w:rPr>
          <w:rFonts w:ascii="Garamond" w:hAnsi="Garamond"/>
          <w:color w:val="auto"/>
        </w:rPr>
      </w:pPr>
      <w:r w:rsidRPr="005856CD">
        <w:rPr>
          <w:rFonts w:ascii="Garamond" w:hAnsi="Garamond"/>
          <w:color w:val="auto"/>
        </w:rPr>
        <w:t>A</w:t>
      </w:r>
      <w:r w:rsidR="00855A96" w:rsidRPr="005856CD">
        <w:rPr>
          <w:rFonts w:ascii="Garamond" w:hAnsi="Garamond"/>
          <w:color w:val="auto"/>
        </w:rPr>
        <w:t>/</w:t>
      </w:r>
      <w:r w:rsidR="009E203B">
        <w:rPr>
          <w:rFonts w:ascii="Garamond" w:hAnsi="Garamond"/>
          <w:color w:val="auto"/>
        </w:rPr>
        <w:t>51</w:t>
      </w:r>
      <w:r w:rsidR="00185D7D">
        <w:rPr>
          <w:rFonts w:ascii="Garamond" w:hAnsi="Garamond"/>
          <w:color w:val="auto"/>
        </w:rPr>
        <w:t>-1</w:t>
      </w:r>
      <w:r w:rsidR="00E64D72" w:rsidRPr="005856CD">
        <w:rPr>
          <w:rFonts w:ascii="Garamond" w:hAnsi="Garamond"/>
          <w:color w:val="auto"/>
        </w:rPr>
        <w:t>/20</w:t>
      </w:r>
      <w:r w:rsidR="00636417" w:rsidRPr="005856CD">
        <w:rPr>
          <w:rFonts w:ascii="Garamond" w:hAnsi="Garamond"/>
          <w:color w:val="auto"/>
        </w:rPr>
        <w:t>2</w:t>
      </w:r>
      <w:r w:rsidR="0053572B">
        <w:rPr>
          <w:rFonts w:ascii="Garamond" w:hAnsi="Garamond"/>
          <w:color w:val="auto"/>
        </w:rPr>
        <w:t>4</w:t>
      </w:r>
      <w:r w:rsidR="009860E1" w:rsidRPr="005856CD">
        <w:rPr>
          <w:rFonts w:ascii="Garamond" w:hAnsi="Garamond"/>
          <w:color w:val="auto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1E611323"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Tanácsa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53572B">
        <w:rPr>
          <w:rFonts w:ascii="Garamond" w:hAnsi="Garamond"/>
          <w:b/>
        </w:rPr>
        <w:t>4</w:t>
      </w:r>
      <w:r w:rsidR="00E64D72">
        <w:rPr>
          <w:rFonts w:ascii="Garamond" w:hAnsi="Garamond"/>
          <w:b/>
        </w:rPr>
        <w:t xml:space="preserve">. </w:t>
      </w:r>
      <w:r w:rsidR="005273AB">
        <w:rPr>
          <w:rFonts w:ascii="Garamond" w:hAnsi="Garamond"/>
          <w:b/>
        </w:rPr>
        <w:t>nov</w:t>
      </w:r>
      <w:r w:rsidR="005856CD">
        <w:rPr>
          <w:rFonts w:ascii="Garamond" w:hAnsi="Garamond"/>
          <w:b/>
        </w:rPr>
        <w:t>ember</w:t>
      </w:r>
      <w:r w:rsidR="0084008E">
        <w:rPr>
          <w:rFonts w:ascii="Garamond" w:hAnsi="Garamond"/>
          <w:b/>
        </w:rPr>
        <w:t>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4704C49" w14:textId="5D334CE8" w:rsidR="00C36D96" w:rsidRPr="000A7D38" w:rsidRDefault="00E64D72" w:rsidP="000A7D3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24722E1B" w14:textId="7043CF30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36EF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5E420D0F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="005273AB">
        <w:rPr>
          <w:rFonts w:ascii="Garamond" w:hAnsi="Garamond"/>
          <w:i/>
          <w:iCs/>
        </w:rPr>
        <w:t xml:space="preserve">mini bölcsődei és </w:t>
      </w:r>
      <w:r w:rsidRPr="008801B8">
        <w:rPr>
          <w:rFonts w:ascii="Garamond" w:hAnsi="Garamond"/>
          <w:b/>
          <w:bCs/>
        </w:rPr>
        <w:t>óvodai 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Tömörkény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>árak, díjak megállapítás</w:t>
      </w:r>
      <w:r w:rsidR="0053572B">
        <w:rPr>
          <w:rFonts w:ascii="Garamond" w:hAnsi="Garamond"/>
          <w:i/>
          <w:iCs/>
        </w:rPr>
        <w:t xml:space="preserve">a </w:t>
      </w:r>
      <w:r w:rsidR="008801B8">
        <w:rPr>
          <w:rFonts w:ascii="Garamond" w:hAnsi="Garamond"/>
          <w:i/>
          <w:iCs/>
        </w:rPr>
        <w:t xml:space="preserve">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rendelet </w:t>
      </w:r>
      <w:r w:rsidR="008801B8">
        <w:rPr>
          <w:rFonts w:ascii="Garamond" w:hAnsi="Garamond"/>
        </w:rPr>
        <w:t xml:space="preserve"> formájában. </w:t>
      </w:r>
      <w:r w:rsidR="001F12DB">
        <w:rPr>
          <w:rFonts w:ascii="Garamond" w:hAnsi="Garamond"/>
        </w:rPr>
        <w:t xml:space="preserve">Ennek jogszabályi alapja a jogalkotásról szóló 2011. évi CXXX. törvény (a továbbiakban: Jat.) 5. § (5) és (8) bekezdése tartalma.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1EB43185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</w:t>
      </w:r>
      <w:r w:rsidR="005D37D6">
        <w:rPr>
          <w:rFonts w:ascii="Garamond" w:hAnsi="Garamond"/>
        </w:rPr>
        <w:t>ek</w:t>
      </w:r>
      <w:r w:rsidR="00010215">
        <w:rPr>
          <w:rFonts w:ascii="Garamond" w:hAnsi="Garamond"/>
        </w:rPr>
        <w:t xml:space="preserve"> a gyermekétkeztetést biztosítókkal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látták el feladatukat és számlázták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-  a gyermek szülőjére, törvényes képviselőjére való áthárítása, teljes, vagy részbeni átvállalása az adott önkormányzat által – igen változatos képet </w:t>
      </w:r>
      <w:r w:rsidR="005D37D6">
        <w:rPr>
          <w:rFonts w:ascii="Garamond" w:hAnsi="Garamond"/>
        </w:rPr>
        <w:t>mutatott</w:t>
      </w:r>
      <w:r w:rsidR="00FE26ED">
        <w:rPr>
          <w:rFonts w:ascii="Garamond" w:hAnsi="Garamond"/>
        </w:rPr>
        <w:t xml:space="preserve">, de betöltötte szerepét a feladatellátásban. </w:t>
      </w:r>
    </w:p>
    <w:p w14:paraId="6C03887B" w14:textId="6A6366B7" w:rsidR="00285455" w:rsidRPr="008801B8" w:rsidRDefault="00285455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911D876" w14:textId="617F4287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 nevelési intézmény</w:t>
      </w:r>
      <w:r w:rsidR="005273AB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>feladatellátás</w:t>
      </w:r>
      <w:r w:rsidR="005273AB">
        <w:rPr>
          <w:rFonts w:ascii="Garamond" w:hAnsi="Garamond"/>
        </w:rPr>
        <w:t>á</w:t>
      </w:r>
      <w:r w:rsidR="00583C8D">
        <w:rPr>
          <w:rFonts w:ascii="Garamond" w:hAnsi="Garamond"/>
        </w:rPr>
        <w:t>nak</w:t>
      </w:r>
      <w:r w:rsidR="005273AB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része az </w:t>
      </w:r>
      <w:r w:rsidR="005273AB">
        <w:rPr>
          <w:rFonts w:ascii="Garamond" w:hAnsi="Garamond"/>
        </w:rPr>
        <w:t xml:space="preserve">adott </w:t>
      </w:r>
      <w:r w:rsidR="00583C8D">
        <w:rPr>
          <w:rFonts w:ascii="Garamond" w:hAnsi="Garamond"/>
        </w:rPr>
        <w:t xml:space="preserve">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79ECCD45" w14:textId="5200A7DA" w:rsidR="00C36D96" w:rsidRPr="005D37D6" w:rsidRDefault="00C934E6" w:rsidP="005D37D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</w:t>
      </w:r>
      <w:r w:rsidR="005D37D6">
        <w:rPr>
          <w:rFonts w:ascii="Garamond" w:hAnsi="Garamond"/>
        </w:rPr>
        <w:t xml:space="preserve"> Gyvt.</w:t>
      </w:r>
      <w:r w:rsidR="00F104B7">
        <w:rPr>
          <w:rFonts w:ascii="Garamond" w:hAnsi="Garamond"/>
        </w:rPr>
        <w:t xml:space="preserve"> 21/A. § szerint az ellátásban részesülő gyermek részére </w:t>
      </w:r>
    </w:p>
    <w:p w14:paraId="298B6403" w14:textId="1FE04611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1D631E29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  <w:r w:rsidR="005273AB">
        <w:rPr>
          <w:rFonts w:ascii="Garamond" w:hAnsi="Garamond"/>
          <w:i/>
        </w:rPr>
        <w:t>.</w:t>
      </w:r>
    </w:p>
    <w:p w14:paraId="6B1C8C49" w14:textId="7E88C51C" w:rsidR="00AB05C9" w:rsidRPr="005273AB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413EBF3C" w14:textId="41CE47D1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53572B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lastRenderedPageBreak/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55CE1A0E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231EB7">
        <w:rPr>
          <w:rFonts w:ascii="Garamond" w:hAnsi="Garamond"/>
        </w:rPr>
        <w:t>-a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6872E4D1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>ával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 xml:space="preserve">, akként, hogy sem étkezelési, sem gondozási díj összege nem terheli a szülőt, mivel azt </w:t>
      </w:r>
      <w:r w:rsidR="005D37D6">
        <w:rPr>
          <w:rFonts w:ascii="Garamond" w:hAnsi="Garamond"/>
        </w:rPr>
        <w:t xml:space="preserve">évek óta folyamatosan </w:t>
      </w:r>
      <w:r w:rsidR="00231EB7">
        <w:rPr>
          <w:rFonts w:ascii="Garamond" w:hAnsi="Garamond"/>
        </w:rPr>
        <w:t xml:space="preserve">átvállalja az </w:t>
      </w:r>
      <w:r w:rsidR="007E76ED">
        <w:rPr>
          <w:rFonts w:ascii="Garamond" w:hAnsi="Garamond"/>
        </w:rPr>
        <w:t>önkormányzat.</w:t>
      </w:r>
      <w:r w:rsidR="00231EB7">
        <w:rPr>
          <w:rFonts w:ascii="Garamond" w:hAnsi="Garamond"/>
        </w:rPr>
        <w:t xml:space="preserve"> Ugyanez igaz a Felgyői tagintézmény 2023. május 1. napjától hatályba lépett fenti önkormányzati rendeletet módosító jogszabályban foglaltak szerint, melyben a mini bölcsődei ellátás intézményi térítési díja és a gondozás díja összegét az önkormányzat adott évi költségvetés</w:t>
      </w:r>
      <w:r w:rsidR="0053572B">
        <w:rPr>
          <w:rFonts w:ascii="Garamond" w:hAnsi="Garamond"/>
        </w:rPr>
        <w:t>e</w:t>
      </w:r>
      <w:r w:rsidR="00231EB7">
        <w:rPr>
          <w:rFonts w:ascii="Garamond" w:hAnsi="Garamond"/>
        </w:rPr>
        <w:t xml:space="preserve"> terhére átvállalta. </w:t>
      </w:r>
    </w:p>
    <w:p w14:paraId="16A7BC81" w14:textId="43EB1CBD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</w:t>
      </w:r>
      <w:r w:rsidR="007E76ED">
        <w:rPr>
          <w:rFonts w:ascii="Garamond" w:hAnsi="Garamond"/>
        </w:rPr>
        <w:t>a</w:t>
      </w:r>
      <w:r w:rsidR="00D15626">
        <w:rPr>
          <w:rFonts w:ascii="Garamond" w:hAnsi="Garamond"/>
        </w:rPr>
        <w:t xml:space="preserve"> nyersanyag és a</w:t>
      </w:r>
      <w:r w:rsidR="0053572B">
        <w:rPr>
          <w:rFonts w:ascii="Garamond" w:hAnsi="Garamond"/>
        </w:rPr>
        <w:t xml:space="preserve"> rezsiköltség </w:t>
      </w:r>
      <w:r w:rsidR="00D15626">
        <w:rPr>
          <w:rFonts w:ascii="Garamond" w:hAnsi="Garamond"/>
        </w:rPr>
        <w:t xml:space="preserve">mellett az </w:t>
      </w:r>
      <w:r w:rsidR="007E76ED">
        <w:rPr>
          <w:rFonts w:ascii="Garamond" w:hAnsi="Garamond"/>
        </w:rPr>
        <w:t>ÁFA összegével együtt</w:t>
      </w:r>
      <w:r w:rsidR="005D37D6">
        <w:rPr>
          <w:rFonts w:ascii="Garamond" w:hAnsi="Garamond"/>
        </w:rPr>
        <w:t xml:space="preserve"> állítja ki a számlát.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ADA89E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1DA190BA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</w:t>
      </w:r>
      <w:r w:rsidR="00CA7C9C">
        <w:rPr>
          <w:rFonts w:ascii="Garamond" w:hAnsi="Garamond"/>
        </w:rPr>
        <w:t xml:space="preserve"> a megrendelőnek</w:t>
      </w:r>
      <w:r w:rsidR="005A6478">
        <w:rPr>
          <w:rFonts w:ascii="Garamond" w:hAnsi="Garamond"/>
        </w:rPr>
        <w:t xml:space="preserve">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F7A6F4F" w14:textId="70276FEA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D15626">
        <w:rPr>
          <w:rFonts w:ascii="Garamond" w:hAnsi="Garamond"/>
        </w:rPr>
        <w:t>4</w:t>
      </w:r>
      <w:r w:rsidR="00B06DF6">
        <w:rPr>
          <w:rFonts w:ascii="Garamond" w:hAnsi="Garamond"/>
        </w:rPr>
        <w:t xml:space="preserve">. évre vonatkozóan benyújtotta önköltségszámítását, amelyből levezett árajánlata díjtétel emelést eredményez, melyet a </w:t>
      </w:r>
      <w:r w:rsidR="00CA7C9C">
        <w:rPr>
          <w:rFonts w:ascii="Garamond" w:hAnsi="Garamond"/>
        </w:rPr>
        <w:t xml:space="preserve">Társulás Társulási Tanácsa </w:t>
      </w:r>
      <w:r w:rsidR="00B06DF6">
        <w:rPr>
          <w:rFonts w:ascii="Garamond" w:hAnsi="Garamond"/>
        </w:rPr>
        <w:t>(a közétkeztetés</w:t>
      </w:r>
      <w:r w:rsidR="00FC399D">
        <w:rPr>
          <w:rFonts w:ascii="Garamond" w:hAnsi="Garamond"/>
        </w:rPr>
        <w:t>i térítési díjakról</w:t>
      </w:r>
      <w:r w:rsidR="00D15626">
        <w:rPr>
          <w:rFonts w:ascii="Garamond" w:hAnsi="Garamond"/>
        </w:rPr>
        <w:t xml:space="preserve"> szóló előterjesztés szerint)</w:t>
      </w:r>
      <w:r w:rsidR="00FC399D">
        <w:rPr>
          <w:rFonts w:ascii="Garamond" w:hAnsi="Garamond"/>
        </w:rPr>
        <w:t xml:space="preserve"> tárgyal és hoz határozatot, amely a tárgyi önkormányzati rendeletben érvényesíthető</w:t>
      </w:r>
      <w:r w:rsidR="00CA7C9C">
        <w:rPr>
          <w:rFonts w:ascii="Garamond" w:hAnsi="Garamond"/>
        </w:rPr>
        <w:t xml:space="preserve"> a képviselő-testület külön előterjesztés</w:t>
      </w:r>
      <w:r w:rsidR="00D15626">
        <w:rPr>
          <w:rFonts w:ascii="Garamond" w:hAnsi="Garamond"/>
        </w:rPr>
        <w:t>é</w:t>
      </w:r>
      <w:r w:rsidR="00CA7C9C">
        <w:rPr>
          <w:rFonts w:ascii="Garamond" w:hAnsi="Garamond"/>
        </w:rPr>
        <w:t>ben indokolt módon.</w:t>
      </w:r>
    </w:p>
    <w:p w14:paraId="770D0B67" w14:textId="4BAD3F19" w:rsidR="00C6394D" w:rsidRDefault="008C0633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A7C9C">
        <w:rPr>
          <w:rFonts w:ascii="Garamond" w:hAnsi="Garamond"/>
        </w:rPr>
        <w:t xml:space="preserve">z </w:t>
      </w:r>
      <w:r w:rsidR="00C6394D">
        <w:rPr>
          <w:rFonts w:ascii="Garamond" w:hAnsi="Garamond"/>
          <w:i/>
        </w:rPr>
        <w:t>Alsó- Tisza-menti Többcélú Óvodák és Mini Bölcsőde székhelyeként Felgyő községben működő óvodai nevelés és az általános iskolai oktatás feladatellátás</w:t>
      </w:r>
      <w:r>
        <w:rPr>
          <w:rFonts w:ascii="Garamond" w:hAnsi="Garamond"/>
          <w:i/>
        </w:rPr>
        <w:t>, valamint 2023. május 1. napjától a mini bölcsődei ellátás keretében</w:t>
      </w:r>
      <w:r w:rsidR="00C6394D">
        <w:rPr>
          <w:rFonts w:ascii="Garamond" w:hAnsi="Garamond"/>
          <w:i/>
        </w:rPr>
        <w:t xml:space="preserve"> a Felgyő Községi Önkormányzat  </w:t>
      </w:r>
      <w:r w:rsidR="00C6394D">
        <w:rPr>
          <w:rFonts w:ascii="Garamond" w:hAnsi="Garamond"/>
          <w:i/>
        </w:rPr>
        <w:lastRenderedPageBreak/>
        <w:t>által</w:t>
      </w:r>
      <w:r w:rsidR="00D15626">
        <w:rPr>
          <w:rFonts w:ascii="Garamond" w:hAnsi="Garamond"/>
          <w:i/>
        </w:rPr>
        <w:t xml:space="preserve"> </w:t>
      </w:r>
      <w:r w:rsidR="00C6394D">
        <w:rPr>
          <w:rFonts w:ascii="Garamond" w:hAnsi="Garamond"/>
          <w:i/>
        </w:rPr>
        <w:t>üzemeltetett konyha</w:t>
      </w:r>
      <w:r>
        <w:rPr>
          <w:rFonts w:ascii="Garamond" w:hAnsi="Garamond"/>
          <w:i/>
        </w:rPr>
        <w:t xml:space="preserve"> látja el</w:t>
      </w:r>
      <w:r w:rsidR="00C6394D">
        <w:rPr>
          <w:rFonts w:ascii="Garamond" w:hAnsi="Garamond"/>
          <w:i/>
        </w:rPr>
        <w:t xml:space="preserve"> a gyermekétkeztetés feladatát, </w:t>
      </w:r>
      <w:r w:rsidR="00C6394D">
        <w:rPr>
          <w:rFonts w:ascii="Garamond" w:hAnsi="Garamond"/>
        </w:rPr>
        <w:t xml:space="preserve">melynek díjtételét a </w:t>
      </w:r>
      <w:r>
        <w:rPr>
          <w:rFonts w:ascii="Garamond" w:hAnsi="Garamond"/>
        </w:rPr>
        <w:t>szolgáltató által 202</w:t>
      </w:r>
      <w:r w:rsidR="00D15626">
        <w:rPr>
          <w:rFonts w:ascii="Garamond" w:hAnsi="Garamond"/>
        </w:rPr>
        <w:t>4</w:t>
      </w:r>
      <w:r>
        <w:rPr>
          <w:rFonts w:ascii="Garamond" w:hAnsi="Garamond"/>
        </w:rPr>
        <w:t xml:space="preserve">. évi önköltségszámításán alapuló </w:t>
      </w:r>
      <w:r w:rsidR="00C6394D">
        <w:rPr>
          <w:rFonts w:ascii="Garamond" w:hAnsi="Garamond"/>
        </w:rPr>
        <w:t>összegben hagy</w:t>
      </w:r>
      <w:r w:rsidR="00C24375">
        <w:rPr>
          <w:rFonts w:ascii="Garamond" w:hAnsi="Garamond"/>
        </w:rPr>
        <w:t>t</w:t>
      </w:r>
      <w:r w:rsidR="00C6394D">
        <w:rPr>
          <w:rFonts w:ascii="Garamond" w:hAnsi="Garamond"/>
        </w:rPr>
        <w:t>a jóvá a Társulás Társulási Tanácsa</w:t>
      </w:r>
      <w:r>
        <w:rPr>
          <w:rFonts w:ascii="Garamond" w:hAnsi="Garamond"/>
        </w:rPr>
        <w:t>, melyet 202</w:t>
      </w:r>
      <w:r w:rsidR="00D15626">
        <w:rPr>
          <w:rFonts w:ascii="Garamond" w:hAnsi="Garamond"/>
        </w:rPr>
        <w:t>5.</w:t>
      </w:r>
      <w:r>
        <w:rPr>
          <w:rFonts w:ascii="Garamond" w:hAnsi="Garamond"/>
        </w:rPr>
        <w:t xml:space="preserve"> január 1. napjától érvényesít.</w:t>
      </w:r>
    </w:p>
    <w:p w14:paraId="4A7B693A" w14:textId="39F7C26A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</w:t>
      </w:r>
      <w:r w:rsidR="00CA4FE3">
        <w:rPr>
          <w:rFonts w:ascii="Garamond" w:hAnsi="Garamond"/>
        </w:rPr>
        <w:t xml:space="preserve"> 202</w:t>
      </w:r>
      <w:r w:rsidR="00D15626">
        <w:rPr>
          <w:rFonts w:ascii="Garamond" w:hAnsi="Garamond"/>
        </w:rPr>
        <w:t>5</w:t>
      </w:r>
      <w:r w:rsidR="00CA4FE3">
        <w:rPr>
          <w:rFonts w:ascii="Garamond" w:hAnsi="Garamond"/>
        </w:rPr>
        <w:t xml:space="preserve">. évre vonatkozóan. 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2CB05439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</w:t>
      </w:r>
      <w:r w:rsidR="008C0633">
        <w:rPr>
          <w:rFonts w:ascii="Garamond" w:hAnsi="Garamond"/>
          <w:i/>
        </w:rPr>
        <w:t>a</w:t>
      </w:r>
      <w:r w:rsidR="00CE6FD1">
        <w:rPr>
          <w:rFonts w:ascii="Garamond" w:hAnsi="Garamond"/>
          <w:i/>
        </w:rPr>
        <w:t xml:space="preserve"> </w:t>
      </w:r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 xml:space="preserve">y. </w:t>
      </w:r>
      <w:r w:rsidR="00700B2B">
        <w:rPr>
          <w:rFonts w:ascii="Garamond" w:hAnsi="Garamond"/>
        </w:rPr>
        <w:t xml:space="preserve">Amennyiben nincs kellő </w:t>
      </w:r>
      <w:r w:rsidR="008C0633">
        <w:rPr>
          <w:rFonts w:ascii="Garamond" w:hAnsi="Garamond"/>
        </w:rPr>
        <w:t>anyagi f</w:t>
      </w:r>
      <w:r w:rsidR="00700B2B">
        <w:rPr>
          <w:rFonts w:ascii="Garamond" w:hAnsi="Garamond"/>
        </w:rPr>
        <w:t>edezet a</w:t>
      </w:r>
      <w:r w:rsidR="00772E97">
        <w:rPr>
          <w:rFonts w:ascii="Garamond" w:hAnsi="Garamond"/>
        </w:rPr>
        <w:t xml:space="preserve"> nevelési </w:t>
      </w:r>
      <w:r w:rsidR="00700B2B">
        <w:rPr>
          <w:rFonts w:ascii="Garamond" w:hAnsi="Garamond"/>
        </w:rPr>
        <w:t xml:space="preserve">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>jelent garanciát a</w:t>
      </w:r>
      <w:r w:rsidR="008C0633">
        <w:rPr>
          <w:rFonts w:ascii="Garamond" w:hAnsi="Garamond"/>
        </w:rPr>
        <w:t xml:space="preserve">z intézmény </w:t>
      </w:r>
      <w:r w:rsidR="00700B2B">
        <w:rPr>
          <w:rFonts w:ascii="Garamond" w:hAnsi="Garamond"/>
        </w:rPr>
        <w:t>működőképesség</w:t>
      </w:r>
      <w:r w:rsidR="008C0633">
        <w:rPr>
          <w:rFonts w:ascii="Garamond" w:hAnsi="Garamond"/>
        </w:rPr>
        <w:t>ének</w:t>
      </w:r>
      <w:r w:rsidR="00700B2B">
        <w:rPr>
          <w:rFonts w:ascii="Garamond" w:hAnsi="Garamond"/>
        </w:rPr>
        <w:t xml:space="preserve"> fenntartására. </w:t>
      </w:r>
      <w:bookmarkStart w:id="0" w:name="_Hlk181095401"/>
      <w:r w:rsidR="00146B5D">
        <w:rPr>
          <w:rFonts w:ascii="Garamond" w:hAnsi="Garamond"/>
        </w:rPr>
        <w:t xml:space="preserve">Kiemelésre méltó változás a 2024. október 1. napjával bevezetett e-menza rendszer érintett felek általi alkalmazása, amely lehetőséget teremt az étkezés megrendelésére, visszamondására, továbbá a díj összege, esetleges korábbi tartozása kiegyenlítésére. Fontos szempont, hogy amennyiben határidőben nem történik meg az intézményi térítési díj szülő általi kifizetése, úgy az érintett gyermek kimarad a gyermekétkeztetés közszolgáltatásából. </w:t>
      </w:r>
      <w:r w:rsidR="001307C0">
        <w:rPr>
          <w:rFonts w:ascii="Garamond" w:hAnsi="Garamond"/>
        </w:rPr>
        <w:t xml:space="preserve"> </w:t>
      </w:r>
    </w:p>
    <w:p w14:paraId="2877ED37" w14:textId="77777777" w:rsidR="008C0633" w:rsidRDefault="008C0633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bookmarkEnd w:id="0"/>
    <w:p w14:paraId="5ADF7825" w14:textId="5C953529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</w:t>
      </w:r>
      <w:r w:rsidR="00550401">
        <w:rPr>
          <w:rFonts w:ascii="Garamond" w:hAnsi="Garamond"/>
          <w:i/>
        </w:rPr>
        <w:t>dék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>, amely 2019. január 01. napjától harmadik helyszínnel, a Tömörkényi Mini Bölcsődei ellátással</w:t>
      </w:r>
      <w:r w:rsidR="008C0633">
        <w:rPr>
          <w:rFonts w:ascii="Garamond" w:hAnsi="Garamond"/>
        </w:rPr>
        <w:t>, 2023. május 1. napjától a Felgyői Mini Bölcsődei ellátással</w:t>
      </w:r>
      <w:r w:rsidR="005D3F7D">
        <w:rPr>
          <w:rFonts w:ascii="Garamond" w:hAnsi="Garamond"/>
        </w:rPr>
        <w:t xml:space="preserve">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6A08D02B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8C0633">
        <w:rPr>
          <w:rFonts w:ascii="Garamond" w:hAnsi="Garamond"/>
          <w:i/>
          <w:iCs/>
        </w:rPr>
        <w:t xml:space="preserve">mini bölcsődei és </w:t>
      </w:r>
      <w:r w:rsidR="00EB4646" w:rsidRPr="005F56D9">
        <w:rPr>
          <w:rFonts w:ascii="Garamond" w:hAnsi="Garamond"/>
          <w:i/>
        </w:rPr>
        <w:t>óvodai nevelés</w:t>
      </w:r>
      <w:r w:rsidR="008C0633">
        <w:rPr>
          <w:rFonts w:ascii="Garamond" w:hAnsi="Garamond"/>
          <w:i/>
        </w:rPr>
        <w:t>i</w:t>
      </w:r>
      <w:r w:rsidR="00EB4646" w:rsidRPr="005F56D9">
        <w:rPr>
          <w:rFonts w:ascii="Garamond" w:hAnsi="Garamond"/>
          <w:i/>
        </w:rPr>
        <w:t xml:space="preserve">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040FB7" w14:textId="355126FD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 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</w:t>
      </w:r>
      <w:r w:rsidR="003902FC">
        <w:rPr>
          <w:rFonts w:ascii="Garamond" w:hAnsi="Garamond"/>
        </w:rPr>
        <w:t>7</w:t>
      </w:r>
      <w:r w:rsidR="00497133">
        <w:rPr>
          <w:rFonts w:ascii="Garamond" w:hAnsi="Garamond"/>
        </w:rPr>
        <w:t>/</w:t>
      </w:r>
      <w:r w:rsidR="00704EB1">
        <w:rPr>
          <w:rFonts w:ascii="Garamond" w:hAnsi="Garamond"/>
        </w:rPr>
        <w:t>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550401">
        <w:rPr>
          <w:rFonts w:ascii="Garamond" w:hAnsi="Garamond"/>
        </w:rPr>
        <w:t>t</w:t>
      </w:r>
      <w:r w:rsidR="009E134F">
        <w:rPr>
          <w:rFonts w:ascii="Garamond" w:hAnsi="Garamond"/>
        </w:rPr>
        <w:t>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>a</w:t>
      </w:r>
      <w:r w:rsidR="00772E97">
        <w:rPr>
          <w:rFonts w:ascii="Garamond" w:hAnsi="Garamond"/>
        </w:rPr>
        <w:t xml:space="preserve"> nevelési </w:t>
      </w:r>
      <w:r w:rsidR="00C1539C">
        <w:rPr>
          <w:rFonts w:ascii="Garamond" w:hAnsi="Garamond"/>
        </w:rPr>
        <w:t xml:space="preserve"> intézmény fenntartójának </w:t>
      </w:r>
      <w:r w:rsidR="00DF6E1D">
        <w:rPr>
          <w:rFonts w:ascii="Garamond" w:hAnsi="Garamond"/>
        </w:rPr>
        <w:t>benyújtott árajánlat</w:t>
      </w:r>
      <w:r w:rsidR="00772E97">
        <w:rPr>
          <w:rFonts w:ascii="Garamond" w:hAnsi="Garamond"/>
        </w:rPr>
        <w:t>á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 xml:space="preserve">, ezért annak elfogadása megfelel mind a fenntartó és </w:t>
      </w:r>
      <w:r w:rsidR="00772E97">
        <w:rPr>
          <w:rFonts w:ascii="Garamond" w:hAnsi="Garamond"/>
        </w:rPr>
        <w:t xml:space="preserve">nevelési </w:t>
      </w:r>
      <w:r w:rsidR="00B62324">
        <w:rPr>
          <w:rFonts w:ascii="Garamond" w:hAnsi="Garamond"/>
        </w:rPr>
        <w:t>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241352CC" w14:textId="77777777" w:rsidR="00523370" w:rsidRDefault="00523370" w:rsidP="00642E84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333F725E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 xml:space="preserve">, a Gyvt. 151. § (1)-(3) bekezdésében 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0551828B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 xml:space="preserve">önkormányzati rendelet-tervezet </w:t>
      </w:r>
      <w:r w:rsidR="000A6264">
        <w:rPr>
          <w:rFonts w:ascii="Garamond" w:hAnsi="Garamond"/>
        </w:rPr>
        <w:t>a Jat. 5. § (1</w:t>
      </w:r>
      <w:r w:rsidR="00550401">
        <w:rPr>
          <w:rFonts w:ascii="Garamond" w:hAnsi="Garamond"/>
        </w:rPr>
        <w:t>)</w:t>
      </w:r>
      <w:r w:rsidR="000A6264">
        <w:rPr>
          <w:rFonts w:ascii="Garamond" w:hAnsi="Garamond"/>
        </w:rPr>
        <w:t xml:space="preserve"> bekezdése értelmében készül,</w:t>
      </w:r>
      <w:r w:rsidR="00CA7C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>épviselő-testület jogalkotása által, a Jat.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</w:t>
      </w:r>
      <w:r w:rsidR="00CA7C9C">
        <w:rPr>
          <w:rFonts w:ascii="Garamond" w:hAnsi="Garamond"/>
        </w:rPr>
        <w:t xml:space="preserve"> nyújtják be.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E595A95" w14:textId="5924F54F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lastRenderedPageBreak/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6CA08D68" w14:textId="47E4C4D2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</w:t>
      </w:r>
      <w:r w:rsidR="00F0782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 </w:t>
      </w:r>
      <w:r w:rsidR="00F07829">
        <w:rPr>
          <w:rFonts w:ascii="Garamond" w:hAnsi="Garamond"/>
        </w:rPr>
        <w:t>A</w:t>
      </w:r>
      <w:r>
        <w:rPr>
          <w:rFonts w:ascii="Garamond" w:hAnsi="Garamond"/>
        </w:rPr>
        <w:t xml:space="preserve"> gyermekétkeztetés szolgáltatását nyújtó </w:t>
      </w:r>
      <w:r w:rsidR="00F07829">
        <w:rPr>
          <w:rFonts w:ascii="Garamond" w:hAnsi="Garamond"/>
        </w:rPr>
        <w:t xml:space="preserve"> KÉPBSZ Kft 202</w:t>
      </w:r>
      <w:r w:rsidR="00550401">
        <w:rPr>
          <w:rFonts w:ascii="Garamond" w:hAnsi="Garamond"/>
        </w:rPr>
        <w:t>5</w:t>
      </w:r>
      <w:r w:rsidR="00F07829">
        <w:rPr>
          <w:rFonts w:ascii="Garamond" w:hAnsi="Garamond"/>
        </w:rPr>
        <w:t xml:space="preserve">. évre vonatkozóan </w:t>
      </w:r>
      <w:r>
        <w:rPr>
          <w:rFonts w:ascii="Garamond" w:hAnsi="Garamond"/>
        </w:rPr>
        <w:t>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>és a</w:t>
      </w:r>
      <w:r w:rsidR="008C46A0">
        <w:rPr>
          <w:rFonts w:ascii="Garamond" w:hAnsi="Garamond"/>
        </w:rPr>
        <w:t xml:space="preserve">z </w:t>
      </w:r>
      <w:r>
        <w:rPr>
          <w:rFonts w:ascii="Garamond" w:hAnsi="Garamond"/>
        </w:rPr>
        <w:t xml:space="preserve">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665DD1FB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84D661F" w14:textId="2CB9BE57" w:rsidR="00A87557" w:rsidRPr="00185D7D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 w:rsidRPr="00185D7D">
        <w:rPr>
          <w:rFonts w:ascii="Garamond" w:hAnsi="Garamond"/>
        </w:rPr>
        <w:t>A</w:t>
      </w:r>
      <w:r w:rsidR="00055228" w:rsidRPr="00185D7D">
        <w:rPr>
          <w:rFonts w:ascii="Garamond" w:hAnsi="Garamond"/>
        </w:rPr>
        <w:t xml:space="preserve">z önkormányzati rendelet </w:t>
      </w:r>
      <w:r w:rsidR="00572744" w:rsidRPr="00185D7D">
        <w:rPr>
          <w:rFonts w:ascii="Garamond" w:hAnsi="Garamond"/>
        </w:rPr>
        <w:t>kihirdetése</w:t>
      </w:r>
      <w:r w:rsidR="00497133" w:rsidRPr="00185D7D">
        <w:rPr>
          <w:rFonts w:ascii="Garamond" w:hAnsi="Garamond"/>
        </w:rPr>
        <w:t xml:space="preserve"> tervezetten </w:t>
      </w:r>
      <w:r w:rsidR="00572744" w:rsidRPr="00185D7D">
        <w:rPr>
          <w:rFonts w:ascii="Garamond" w:hAnsi="Garamond"/>
        </w:rPr>
        <w:t xml:space="preserve"> 2</w:t>
      </w:r>
      <w:r w:rsidR="009A028C" w:rsidRPr="00185D7D">
        <w:rPr>
          <w:rFonts w:ascii="Garamond" w:hAnsi="Garamond"/>
        </w:rPr>
        <w:t>0</w:t>
      </w:r>
      <w:r w:rsidR="00D73D10" w:rsidRPr="00185D7D">
        <w:rPr>
          <w:rFonts w:ascii="Garamond" w:hAnsi="Garamond"/>
        </w:rPr>
        <w:t>2</w:t>
      </w:r>
      <w:r w:rsidR="00550401">
        <w:rPr>
          <w:rFonts w:ascii="Garamond" w:hAnsi="Garamond"/>
        </w:rPr>
        <w:t>4</w:t>
      </w:r>
      <w:r w:rsidR="009A028C" w:rsidRPr="00185D7D">
        <w:rPr>
          <w:rFonts w:ascii="Garamond" w:hAnsi="Garamond"/>
        </w:rPr>
        <w:t>.</w:t>
      </w:r>
      <w:r w:rsidR="00E17B8F" w:rsidRPr="00185D7D">
        <w:rPr>
          <w:rFonts w:ascii="Garamond" w:hAnsi="Garamond"/>
        </w:rPr>
        <w:t xml:space="preserve"> </w:t>
      </w:r>
      <w:r w:rsidR="001F6806">
        <w:rPr>
          <w:rFonts w:ascii="Garamond" w:hAnsi="Garamond"/>
        </w:rPr>
        <w:t xml:space="preserve">november </w:t>
      </w:r>
      <w:r w:rsidR="00550401">
        <w:rPr>
          <w:rFonts w:ascii="Garamond" w:hAnsi="Garamond"/>
        </w:rPr>
        <w:t>29</w:t>
      </w:r>
      <w:r w:rsidR="00E17B8F" w:rsidRPr="00185D7D">
        <w:rPr>
          <w:rFonts w:ascii="Garamond" w:hAnsi="Garamond"/>
        </w:rPr>
        <w:t>.</w:t>
      </w:r>
      <w:r w:rsidR="00572744" w:rsidRPr="00185D7D">
        <w:rPr>
          <w:rFonts w:ascii="Garamond" w:hAnsi="Garamond"/>
        </w:rPr>
        <w:t xml:space="preserve"> napja, míg a </w:t>
      </w:r>
      <w:r w:rsidRPr="00185D7D">
        <w:rPr>
          <w:rFonts w:ascii="Garamond" w:hAnsi="Garamond"/>
        </w:rPr>
        <w:t xml:space="preserve"> hatályba léptetés</w:t>
      </w:r>
      <w:r w:rsidR="00055228" w:rsidRPr="00185D7D">
        <w:rPr>
          <w:rFonts w:ascii="Garamond" w:hAnsi="Garamond"/>
        </w:rPr>
        <w:t>e</w:t>
      </w:r>
      <w:r w:rsidRPr="00185D7D">
        <w:rPr>
          <w:rFonts w:ascii="Garamond" w:hAnsi="Garamond"/>
        </w:rPr>
        <w:t xml:space="preserve"> időpontj</w:t>
      </w:r>
      <w:r w:rsidR="00572744" w:rsidRPr="00185D7D">
        <w:rPr>
          <w:rFonts w:ascii="Garamond" w:hAnsi="Garamond"/>
        </w:rPr>
        <w:t>a</w:t>
      </w:r>
      <w:r w:rsidRPr="00185D7D">
        <w:rPr>
          <w:rFonts w:ascii="Garamond" w:hAnsi="Garamond"/>
        </w:rPr>
        <w:t xml:space="preserve"> </w:t>
      </w:r>
      <w:r w:rsidR="002351BA" w:rsidRPr="00185D7D">
        <w:rPr>
          <w:rFonts w:ascii="Garamond" w:hAnsi="Garamond"/>
        </w:rPr>
        <w:t xml:space="preserve"> </w:t>
      </w:r>
      <w:r w:rsidRPr="00185D7D">
        <w:rPr>
          <w:rFonts w:ascii="Garamond" w:hAnsi="Garamond"/>
        </w:rPr>
        <w:t>20</w:t>
      </w:r>
      <w:r w:rsidR="00055228" w:rsidRPr="00185D7D">
        <w:rPr>
          <w:rFonts w:ascii="Garamond" w:hAnsi="Garamond"/>
        </w:rPr>
        <w:t>2</w:t>
      </w:r>
      <w:r w:rsidR="00550401">
        <w:rPr>
          <w:rFonts w:ascii="Garamond" w:hAnsi="Garamond"/>
        </w:rPr>
        <w:t>5</w:t>
      </w:r>
      <w:r w:rsidRPr="00185D7D">
        <w:rPr>
          <w:rFonts w:ascii="Garamond" w:hAnsi="Garamond"/>
        </w:rPr>
        <w:t xml:space="preserve">. </w:t>
      </w:r>
      <w:r w:rsidR="008D1109" w:rsidRPr="00185D7D">
        <w:rPr>
          <w:rFonts w:ascii="Garamond" w:hAnsi="Garamond"/>
        </w:rPr>
        <w:t>januá</w:t>
      </w:r>
      <w:r w:rsidRPr="00185D7D">
        <w:rPr>
          <w:rFonts w:ascii="Garamond" w:hAnsi="Garamond"/>
        </w:rPr>
        <w:t>r 01. napj</w:t>
      </w:r>
      <w:r w:rsidR="00055228" w:rsidRPr="00185D7D">
        <w:rPr>
          <w:rFonts w:ascii="Garamond" w:hAnsi="Garamond"/>
        </w:rPr>
        <w:t>a</w:t>
      </w:r>
      <w:r w:rsidRPr="00185D7D">
        <w:rPr>
          <w:rFonts w:ascii="Garamond" w:hAnsi="Garamond"/>
        </w:rPr>
        <w:t>,</w:t>
      </w:r>
      <w:r w:rsidR="00055228" w:rsidRPr="00185D7D">
        <w:rPr>
          <w:rFonts w:ascii="Garamond" w:hAnsi="Garamond"/>
        </w:rPr>
        <w:t xml:space="preserve"> amely díjtétel emelésére tekintette</w:t>
      </w:r>
      <w:r w:rsidR="00572744" w:rsidRPr="00185D7D">
        <w:rPr>
          <w:rFonts w:ascii="Garamond" w:hAnsi="Garamond"/>
        </w:rPr>
        <w:t xml:space="preserve">l </w:t>
      </w:r>
      <w:r w:rsidR="00963D90" w:rsidRPr="00185D7D">
        <w:rPr>
          <w:rFonts w:ascii="Garamond" w:hAnsi="Garamond"/>
        </w:rPr>
        <w:t xml:space="preserve">annak megismerésére </w:t>
      </w:r>
      <w:r w:rsidR="00572744" w:rsidRPr="00185D7D">
        <w:rPr>
          <w:rFonts w:ascii="Garamond" w:hAnsi="Garamond"/>
        </w:rPr>
        <w:t xml:space="preserve">kellő időt </w:t>
      </w:r>
      <w:r w:rsidR="00E42C2A" w:rsidRPr="00185D7D">
        <w:rPr>
          <w:rFonts w:ascii="Garamond" w:hAnsi="Garamond"/>
        </w:rPr>
        <w:t>hagy</w:t>
      </w:r>
      <w:r w:rsidR="00572744" w:rsidRPr="00185D7D">
        <w:rPr>
          <w:rFonts w:ascii="Garamond" w:hAnsi="Garamond"/>
        </w:rPr>
        <w:t xml:space="preserve"> az érintettek számára.</w:t>
      </w:r>
    </w:p>
    <w:p w14:paraId="7B9E1885" w14:textId="4C36CD61" w:rsidR="00F17472" w:rsidRPr="00185D7D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módosító rendelettel kiadott 1. melléklete </w:t>
      </w:r>
      <w:r w:rsidRPr="00185D7D">
        <w:rPr>
          <w:rFonts w:ascii="Garamond" w:hAnsi="Garamond"/>
        </w:rPr>
        <w:t>lép 202</w:t>
      </w:r>
      <w:r w:rsidR="00550401">
        <w:rPr>
          <w:rFonts w:ascii="Garamond" w:hAnsi="Garamond"/>
        </w:rPr>
        <w:t>5</w:t>
      </w:r>
      <w:r w:rsidRPr="00185D7D">
        <w:rPr>
          <w:rFonts w:ascii="Garamond" w:hAnsi="Garamond"/>
        </w:rPr>
        <w:t>. január 01. napjától.</w:t>
      </w:r>
    </w:p>
    <w:p w14:paraId="5BF05000" w14:textId="77777777" w:rsidR="000F10A3" w:rsidRPr="00185D7D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3D614474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902FC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5B3D335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</w:t>
      </w:r>
      <w:r w:rsidR="00E42C2A">
        <w:rPr>
          <w:rFonts w:ascii="Garamond" w:hAnsi="Garamond"/>
        </w:rPr>
        <w:t>.</w:t>
      </w:r>
    </w:p>
    <w:p w14:paraId="77248FA2" w14:textId="0D8B47F3" w:rsidR="00CE6FE4" w:rsidRPr="001F6806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be</w:t>
      </w:r>
      <w:r w:rsidR="00E17B8F">
        <w:rPr>
          <w:rFonts w:ascii="Garamond" w:hAnsi="Garamond"/>
        </w:rPr>
        <w:t xml:space="preserve"> fogom </w:t>
      </w:r>
      <w:r>
        <w:rPr>
          <w:rFonts w:ascii="Garamond" w:hAnsi="Garamond"/>
        </w:rPr>
        <w:t>von</w:t>
      </w:r>
      <w:r w:rsidR="00E17B8F">
        <w:rPr>
          <w:rFonts w:ascii="Garamond" w:hAnsi="Garamond"/>
        </w:rPr>
        <w:t xml:space="preserve">ni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</w:t>
      </w:r>
      <w:r w:rsidRPr="00EF40C4">
        <w:rPr>
          <w:rFonts w:ascii="Garamond" w:hAnsi="Garamond"/>
          <w:iCs/>
        </w:rPr>
        <w:t>is.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</w:t>
      </w:r>
    </w:p>
    <w:p w14:paraId="50A72EBD" w14:textId="5E9FE97D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E17B8F">
        <w:rPr>
          <w:rFonts w:ascii="Garamond" w:hAnsi="Garamond"/>
        </w:rPr>
        <w:t xml:space="preserve"> fent írt 2 Bizot</w:t>
      </w:r>
      <w:r w:rsidR="00EF40C4">
        <w:rPr>
          <w:rFonts w:ascii="Garamond" w:hAnsi="Garamond"/>
        </w:rPr>
        <w:t>tsággal</w:t>
      </w:r>
      <w:r w:rsidR="001F6806">
        <w:rPr>
          <w:rFonts w:ascii="Garamond" w:hAnsi="Garamond"/>
        </w:rPr>
        <w:t xml:space="preserve"> </w:t>
      </w:r>
      <w:r w:rsidR="00E17B8F">
        <w:rPr>
          <w:rFonts w:ascii="Garamond" w:hAnsi="Garamond"/>
        </w:rPr>
        <w:t>előzetesen</w:t>
      </w:r>
      <w:r w:rsidR="00E3019E">
        <w:rPr>
          <w:rFonts w:ascii="Garamond" w:hAnsi="Garamond"/>
        </w:rPr>
        <w:t xml:space="preserve"> véleményeztetem</w:t>
      </w:r>
      <w:r w:rsidR="00DB2AF6">
        <w:rPr>
          <w:rFonts w:ascii="Garamond" w:hAnsi="Garamond"/>
        </w:rPr>
        <w:t>.</w:t>
      </w:r>
    </w:p>
    <w:p w14:paraId="38B8F049" w14:textId="1C06FE3A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 xml:space="preserve">eleget </w:t>
      </w:r>
      <w:r w:rsidR="00E17B8F">
        <w:rPr>
          <w:rFonts w:ascii="Garamond" w:hAnsi="Garamond"/>
        </w:rPr>
        <w:t>fogok tenni</w:t>
      </w:r>
      <w:r>
        <w:rPr>
          <w:rFonts w:ascii="Garamond" w:hAnsi="Garamond"/>
        </w:rPr>
        <w:t xml:space="preserve">, az önkormányzati rendelet-tervezet hivatal hirdetőtábláján </w:t>
      </w:r>
      <w:r w:rsidR="00E17B8F">
        <w:rPr>
          <w:rFonts w:ascii="Garamond" w:hAnsi="Garamond"/>
        </w:rPr>
        <w:t xml:space="preserve">való </w:t>
      </w:r>
      <w:r>
        <w:rPr>
          <w:rFonts w:ascii="Garamond" w:hAnsi="Garamond"/>
        </w:rPr>
        <w:t xml:space="preserve"> kifüggeszt</w:t>
      </w:r>
      <w:r w:rsidR="00E17B8F">
        <w:rPr>
          <w:rFonts w:ascii="Garamond" w:hAnsi="Garamond"/>
        </w:rPr>
        <w:t>ésével.</w:t>
      </w:r>
      <w:r>
        <w:rPr>
          <w:rFonts w:ascii="Garamond" w:hAnsi="Garamond"/>
        </w:rPr>
        <w:t xml:space="preserve"> </w:t>
      </w:r>
    </w:p>
    <w:p w14:paraId="29E70261" w14:textId="5AF88C5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71174D68" w14:textId="4C64B393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Társulási Tanács</w:t>
      </w:r>
      <w:r w:rsidR="00DB3FC9">
        <w:rPr>
          <w:rFonts w:ascii="Garamond" w:hAnsi="Garamond"/>
          <w:b/>
        </w:rPr>
        <w:t>!</w:t>
      </w:r>
    </w:p>
    <w:p w14:paraId="26018518" w14:textId="1C107BD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</w:t>
      </w:r>
      <w:r w:rsidR="00E17B8F">
        <w:rPr>
          <w:rFonts w:ascii="Garamond" w:hAnsi="Garamond"/>
          <w:i/>
        </w:rPr>
        <w:t xml:space="preserve">ben </w:t>
      </w:r>
      <w:r>
        <w:rPr>
          <w:rFonts w:ascii="Garamond" w:hAnsi="Garamond"/>
        </w:rPr>
        <w:t>foglalta</w:t>
      </w:r>
      <w:r w:rsidR="000F10A3">
        <w:rPr>
          <w:rFonts w:ascii="Garamond" w:hAnsi="Garamond"/>
        </w:rPr>
        <w:t>k</w:t>
      </w:r>
      <w:r w:rsidR="00E17B8F">
        <w:rPr>
          <w:rFonts w:ascii="Garamond" w:hAnsi="Garamond"/>
        </w:rPr>
        <w:t xml:space="preserve"> és a</w:t>
      </w:r>
      <w:r w:rsidR="00EF684B">
        <w:rPr>
          <w:rFonts w:ascii="Garamond" w:hAnsi="Garamond"/>
        </w:rPr>
        <w:t xml:space="preserve"> határozat</w:t>
      </w:r>
      <w:r w:rsidR="006A00A8">
        <w:rPr>
          <w:rFonts w:ascii="Garamond" w:hAnsi="Garamond"/>
        </w:rPr>
        <w:t xml:space="preserve">i javaslat </w:t>
      </w:r>
      <w:r w:rsidR="00EF684B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és </w:t>
      </w:r>
      <w:r w:rsidR="00EF684B">
        <w:rPr>
          <w:rFonts w:ascii="Garamond" w:hAnsi="Garamond"/>
          <w:i/>
        </w:rPr>
        <w:t xml:space="preserve">annak </w:t>
      </w:r>
      <w:r w:rsidR="00DB3FC9">
        <w:rPr>
          <w:rFonts w:ascii="Garamond" w:hAnsi="Garamond"/>
          <w:i/>
        </w:rPr>
        <w:t xml:space="preserve"> jóváhagyását.</w:t>
      </w:r>
    </w:p>
    <w:p w14:paraId="308AF5A6" w14:textId="141A595E" w:rsidR="00CE1DBF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>a</w:t>
      </w:r>
      <w:r w:rsidR="006A00A8">
        <w:rPr>
          <w:rFonts w:ascii="Garamond" w:hAnsi="Garamond"/>
        </w:rPr>
        <w:t xml:space="preserve"> való felkérést</w:t>
      </w:r>
      <w:r w:rsidR="00992EE7">
        <w:rPr>
          <w:rFonts w:ascii="Garamond" w:hAnsi="Garamond"/>
        </w:rPr>
        <w:t xml:space="preserve"> </w:t>
      </w:r>
      <w:r>
        <w:rPr>
          <w:rFonts w:ascii="Garamond" w:hAnsi="Garamond"/>
        </w:rPr>
        <w:t>(a jogelvek betartása okán)</w:t>
      </w:r>
      <w:r w:rsidR="006A00A8">
        <w:rPr>
          <w:rFonts w:ascii="Garamond" w:hAnsi="Garamond"/>
        </w:rPr>
        <w:t xml:space="preserve"> az arra jogosított Csanytelek Község Önkormányzata Képviselő-testülete számára.</w:t>
      </w:r>
    </w:p>
    <w:p w14:paraId="09C56AB0" w14:textId="77777777" w:rsidR="00EF40C4" w:rsidRDefault="00EF40C4" w:rsidP="00C71B3D">
      <w:pPr>
        <w:spacing w:line="240" w:lineRule="auto"/>
        <w:ind w:right="-567"/>
        <w:jc w:val="both"/>
        <w:rPr>
          <w:rFonts w:ascii="Garamond" w:hAnsi="Garamond"/>
        </w:rPr>
      </w:pPr>
    </w:p>
    <w:p w14:paraId="0EFCBC06" w14:textId="3A20C5C3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E17B8F">
        <w:rPr>
          <w:rFonts w:ascii="Garamond" w:hAnsi="Garamond"/>
        </w:rPr>
        <w:t>202</w:t>
      </w:r>
      <w:r w:rsidR="00EF40C4">
        <w:rPr>
          <w:rFonts w:ascii="Garamond" w:hAnsi="Garamond"/>
        </w:rPr>
        <w:t>4</w:t>
      </w:r>
      <w:r w:rsidR="00E17B8F">
        <w:rPr>
          <w:rFonts w:ascii="Garamond" w:hAnsi="Garamond"/>
        </w:rPr>
        <w:t xml:space="preserve">. november </w:t>
      </w:r>
      <w:r w:rsidR="001F6806">
        <w:rPr>
          <w:rFonts w:ascii="Garamond" w:hAnsi="Garamond"/>
        </w:rPr>
        <w:t>0</w:t>
      </w:r>
      <w:r w:rsidR="00EF40C4">
        <w:rPr>
          <w:rFonts w:ascii="Garamond" w:hAnsi="Garamond"/>
        </w:rPr>
        <w:t>6</w:t>
      </w:r>
      <w:r w:rsidR="00E17B8F"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4AB08F7" w14:textId="77777777" w:rsidR="00EF40C4" w:rsidRDefault="00EF40C4" w:rsidP="000A7D38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</w:p>
    <w:p w14:paraId="76DDA52F" w14:textId="759A89F2" w:rsidR="00DB3FC9" w:rsidRDefault="00C71B3D" w:rsidP="000A7D38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CB1E785" w14:textId="77777777" w:rsidR="00EF40C4" w:rsidRDefault="00EF40C4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</w:p>
    <w:p w14:paraId="796C73A7" w14:textId="77777777" w:rsidR="00EF40C4" w:rsidRDefault="00EF40C4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</w:p>
    <w:p w14:paraId="35478CC9" w14:textId="200BA2A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1A6F8085" w14:textId="77777777"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5EE78FAC" w14:textId="6788BDDA" w:rsidR="00F17472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64D96633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47FAB39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89F91" w14:textId="5CCC436A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</w:t>
      </w:r>
      <w:r w:rsidR="00D53E31">
        <w:rPr>
          <w:rFonts w:ascii="Garamond" w:hAnsi="Garamond"/>
          <w:b/>
          <w:u w:val="single"/>
        </w:rPr>
        <w:t>4</w:t>
      </w:r>
      <w:r>
        <w:rPr>
          <w:rFonts w:ascii="Garamond" w:hAnsi="Garamond"/>
          <w:b/>
          <w:u w:val="single"/>
        </w:rPr>
        <w:t>. (</w:t>
      </w:r>
      <w:r w:rsidR="00F17472">
        <w:rPr>
          <w:rFonts w:ascii="Garamond" w:hAnsi="Garamond"/>
          <w:b/>
          <w:u w:val="single"/>
        </w:rPr>
        <w:t>X</w:t>
      </w:r>
      <w:r w:rsidR="005856CD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 xml:space="preserve">. .. .) </w:t>
      </w:r>
      <w:r w:rsidR="00FB6135">
        <w:rPr>
          <w:rFonts w:ascii="Garamond" w:hAnsi="Garamond"/>
          <w:b/>
          <w:u w:val="single"/>
        </w:rPr>
        <w:t xml:space="preserve"> Atmöt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7CBFC33" w14:textId="3659CFBB" w:rsidR="00C10A71" w:rsidRPr="00823655" w:rsidRDefault="00B63BEF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A45556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>14/2018. (XI. 29.)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>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479723FE" w14:textId="3751ED2C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>i  javaslat</w:t>
      </w:r>
    </w:p>
    <w:p w14:paraId="5D0485A7" w14:textId="77777777" w:rsidR="00823655" w:rsidRDefault="00823655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72468D48" w14:textId="2F9FA00D" w:rsidR="00AA1AF8" w:rsidRDefault="008B255A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 w:rsidR="00992EE7">
        <w:rPr>
          <w:rFonts w:ascii="Garamond" w:hAnsi="Garamond"/>
          <w:b/>
        </w:rPr>
        <w:t xml:space="preserve"> Alsó- Tisza-menti Önkormányzati Társulás Társulási Tanácsa </w:t>
      </w:r>
      <w:r w:rsidR="004D6A47">
        <w:rPr>
          <w:rFonts w:ascii="Garamond" w:hAnsi="Garamond"/>
          <w:bCs/>
        </w:rPr>
        <w:t xml:space="preserve">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 xml:space="preserve">tárgyi előterjesztésben foglaltakat, azzal egyetért </w:t>
      </w:r>
      <w:r w:rsidR="004F423C">
        <w:rPr>
          <w:rFonts w:ascii="Garamond" w:hAnsi="Garamond"/>
        </w:rPr>
        <w:t>és</w:t>
      </w:r>
      <w:r w:rsidR="00E552AC">
        <w:rPr>
          <w:rFonts w:ascii="Garamond" w:hAnsi="Garamond"/>
        </w:rPr>
        <w:t xml:space="preserve"> felkéri Csanytelek Község Önkormányzata Képviselő-testületét</w:t>
      </w:r>
    </w:p>
    <w:p w14:paraId="17A704C9" w14:textId="19CBDC9B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>végrehajtása érdekében</w:t>
      </w:r>
      <w:r w:rsidR="00E17B8F">
        <w:rPr>
          <w:rFonts w:ascii="Garamond" w:hAnsi="Garamond"/>
        </w:rPr>
        <w:t>,</w:t>
      </w:r>
      <w:r w:rsidR="00AA1AF8" w:rsidRPr="00AA1AF8">
        <w:rPr>
          <w:rFonts w:ascii="Garamond" w:hAnsi="Garamond"/>
        </w:rPr>
        <w:t xml:space="preserve"> </w:t>
      </w:r>
    </w:p>
    <w:p w14:paraId="7D6F4FC8" w14:textId="3CDADD88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</w:t>
      </w:r>
      <w:r w:rsidR="00E17B8F">
        <w:rPr>
          <w:rFonts w:ascii="Garamond" w:hAnsi="Garamond"/>
        </w:rPr>
        <w:t xml:space="preserve"> </w:t>
      </w:r>
      <w:r w:rsidR="00DE71E2">
        <w:rPr>
          <w:rFonts w:ascii="Garamond" w:hAnsi="Garamond"/>
        </w:rPr>
        <w:t xml:space="preserve">- 21/C. § és a </w:t>
      </w:r>
      <w:r>
        <w:rPr>
          <w:rFonts w:ascii="Garamond" w:hAnsi="Garamond"/>
        </w:rPr>
        <w:t xml:space="preserve"> 146. – 151. § előírásainak betartásával,</w:t>
      </w:r>
    </w:p>
    <w:p w14:paraId="0838C63A" w14:textId="081A2A07" w:rsidR="00C71389" w:rsidRPr="00E17B8F" w:rsidRDefault="00AA1AF8" w:rsidP="00E17B8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0AE3AAB8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5D610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6ECB051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</w:t>
      </w:r>
    </w:p>
    <w:p w14:paraId="769E451F" w14:textId="7576E778" w:rsidR="003E3836" w:rsidRDefault="003D6CC3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>
        <w:rPr>
          <w:rFonts w:ascii="Garamond" w:hAnsi="Garamond"/>
        </w:rPr>
        <w:t xml:space="preserve"> </w:t>
      </w:r>
      <w:r w:rsidR="004E1E47">
        <w:rPr>
          <w:rFonts w:ascii="Garamond" w:hAnsi="Garamond"/>
          <w:i/>
        </w:rPr>
        <w:t xml:space="preserve">önkormányzati </w:t>
      </w:r>
      <w:r>
        <w:rPr>
          <w:rFonts w:ascii="Garamond" w:hAnsi="Garamond"/>
          <w:i/>
        </w:rPr>
        <w:t>rendelet alkotásá</w:t>
      </w:r>
      <w:r w:rsidR="00E552AC">
        <w:rPr>
          <w:rFonts w:ascii="Garamond" w:hAnsi="Garamond"/>
          <w:i/>
        </w:rPr>
        <w:t>ra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>a</w:t>
      </w:r>
      <w:r w:rsidR="00E17B8F">
        <w:rPr>
          <w:rFonts w:ascii="Garamond" w:hAnsi="Garamond"/>
        </w:rPr>
        <w:t xml:space="preserve">z </w:t>
      </w:r>
      <w:r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 w:rsidR="004E1E47"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</w:t>
      </w:r>
      <w:r w:rsidR="00E552AC">
        <w:rPr>
          <w:rFonts w:ascii="Garamond" w:hAnsi="Garamond"/>
          <w:i/>
        </w:rPr>
        <w:t>ra</w:t>
      </w:r>
      <w:r w:rsidR="008621AC">
        <w:rPr>
          <w:rFonts w:ascii="Garamond" w:hAnsi="Garamond"/>
          <w:i/>
        </w:rPr>
        <w:t xml:space="preserve"> a</w:t>
      </w:r>
      <w:r w:rsidR="00EC4230">
        <w:rPr>
          <w:rFonts w:ascii="Garamond" w:hAnsi="Garamond"/>
          <w:i/>
        </w:rPr>
        <w:t>z e</w:t>
      </w:r>
      <w:r w:rsidR="00670CE4">
        <w:rPr>
          <w:rFonts w:ascii="Garamond" w:hAnsi="Garamond"/>
          <w:i/>
        </w:rPr>
        <w:t>lőterjesztés</w:t>
      </w:r>
      <w:r w:rsidR="00EC4230">
        <w:rPr>
          <w:rFonts w:ascii="Garamond" w:hAnsi="Garamond"/>
          <w:i/>
        </w:rPr>
        <w:t xml:space="preserve"> 1. melléklet</w:t>
      </w:r>
      <w:r w:rsidR="00670CE4">
        <w:rPr>
          <w:rFonts w:ascii="Garamond" w:hAnsi="Garamond"/>
          <w:i/>
        </w:rPr>
        <w:t>e</w:t>
      </w:r>
      <w:r w:rsidR="00EC4230">
        <w:rPr>
          <w:rFonts w:ascii="Garamond" w:hAnsi="Garamond"/>
          <w:i/>
        </w:rPr>
        <w:t>ként</w:t>
      </w:r>
      <w:r w:rsidR="008621AC">
        <w:rPr>
          <w:rFonts w:ascii="Garamond" w:hAnsi="Garamond"/>
          <w:i/>
        </w:rPr>
        <w:t xml:space="preserve"> csatolt </w:t>
      </w:r>
      <w:r w:rsidR="00EC4230">
        <w:rPr>
          <w:rFonts w:ascii="Garamond" w:hAnsi="Garamond"/>
          <w:i/>
        </w:rPr>
        <w:t>szolgáltatói árajánlat</w:t>
      </w:r>
      <w:r w:rsidR="00A67827">
        <w:rPr>
          <w:rFonts w:ascii="Garamond" w:hAnsi="Garamond"/>
          <w:i/>
        </w:rPr>
        <w:t>ok</w:t>
      </w:r>
      <w:r w:rsidR="00EC4230">
        <w:rPr>
          <w:rFonts w:ascii="Garamond" w:hAnsi="Garamond"/>
          <w:i/>
        </w:rPr>
        <w:t xml:space="preserve"> szerinti díjtételek alkalmazásával</w:t>
      </w:r>
      <w:r w:rsidR="00A034AB">
        <w:rPr>
          <w:rFonts w:ascii="Garamond" w:hAnsi="Garamond"/>
          <w:i/>
        </w:rPr>
        <w:t>,</w:t>
      </w:r>
      <w:r w:rsidR="00EC4230">
        <w:rPr>
          <w:rFonts w:ascii="Garamond" w:hAnsi="Garamond"/>
          <w:i/>
        </w:rPr>
        <w:t xml:space="preserve"> 202</w:t>
      </w:r>
      <w:r w:rsidR="00A45556">
        <w:rPr>
          <w:rFonts w:ascii="Garamond" w:hAnsi="Garamond"/>
          <w:i/>
        </w:rPr>
        <w:t>5</w:t>
      </w:r>
      <w:r w:rsidR="00EC4230">
        <w:rPr>
          <w:rFonts w:ascii="Garamond" w:hAnsi="Garamond"/>
          <w:i/>
        </w:rPr>
        <w:t>. január 1. napjával való hatályba léptetéssel.</w:t>
      </w:r>
      <w:r w:rsidR="006A6D7E">
        <w:rPr>
          <w:rFonts w:ascii="Garamond" w:hAnsi="Garamond"/>
          <w:i/>
        </w:rPr>
        <w:t xml:space="preserve"> 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6C1BDE8C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</w:t>
      </w:r>
      <w:r w:rsidR="0030141D">
        <w:rPr>
          <w:rFonts w:ascii="Garamond" w:hAnsi="Garamond"/>
        </w:rPr>
        <w:t xml:space="preserve"> jegyzője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5A731DF9" w:rsidR="00165042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  <w:r w:rsidR="0030141D">
        <w:rPr>
          <w:rFonts w:ascii="Garamond" w:hAnsi="Garamond"/>
        </w:rPr>
        <w:t xml:space="preserve"> (Helyben)</w:t>
      </w:r>
    </w:p>
    <w:p w14:paraId="61A50C9A" w14:textId="6215B440" w:rsidR="007D238B" w:rsidRPr="0064465E" w:rsidRDefault="007D238B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</w:t>
      </w:r>
      <w:r w:rsidR="003E1565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5FBE2282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>, a Társulás feladatellátó</w:t>
      </w:r>
      <w:r w:rsidR="00E552AC">
        <w:rPr>
          <w:rFonts w:ascii="Garamond" w:hAnsi="Garamond"/>
        </w:rPr>
        <w:t xml:space="preserve"> jegyzője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 általa</w:t>
      </w:r>
    </w:p>
    <w:p w14:paraId="0AB67B99" w14:textId="317B7473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A45556">
        <w:rPr>
          <w:rFonts w:ascii="Garamond" w:hAnsi="Garamond"/>
        </w:rPr>
        <w:t xml:space="preserve">ápainé Karkas Krisztina a Csanyteleki Polgármesteri Hivatal </w:t>
      </w:r>
      <w:r>
        <w:rPr>
          <w:rFonts w:ascii="Garamond" w:hAnsi="Garamond"/>
        </w:rPr>
        <w:t>Adó- és Pénzügyi Iroda Vezetője</w:t>
      </w:r>
    </w:p>
    <w:p w14:paraId="15B0609F" w14:textId="3770CF7D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</w:t>
      </w:r>
      <w:r w:rsidR="00F87DEE">
        <w:rPr>
          <w:rFonts w:ascii="Garamond" w:hAnsi="Garamond"/>
        </w:rPr>
        <w:t>Főigazgatója</w:t>
      </w:r>
      <w:r>
        <w:rPr>
          <w:rFonts w:ascii="Garamond" w:hAnsi="Garamond"/>
        </w:rPr>
        <w:t xml:space="preserve"> </w:t>
      </w:r>
    </w:p>
    <w:p w14:paraId="2A77648B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69E4613B" w14:textId="4709C63E" w:rsidR="0002205F" w:rsidRDefault="0002205F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Bori Terézia Felgyői Konyha Vezetője</w:t>
      </w:r>
    </w:p>
    <w:p w14:paraId="0A68C0B5" w14:textId="49D0D1CA" w:rsidR="00276FF0" w:rsidRPr="00766315" w:rsidRDefault="009F4038" w:rsidP="00956F69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sectPr w:rsidR="00276FF0" w:rsidRPr="00766315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563790">
    <w:abstractNumId w:val="4"/>
  </w:num>
  <w:num w:numId="2" w16cid:durableId="633170652">
    <w:abstractNumId w:val="3"/>
  </w:num>
  <w:num w:numId="3" w16cid:durableId="936058822">
    <w:abstractNumId w:val="1"/>
  </w:num>
  <w:num w:numId="4" w16cid:durableId="2064014991">
    <w:abstractNumId w:val="2"/>
  </w:num>
  <w:num w:numId="5" w16cid:durableId="1886021865">
    <w:abstractNumId w:val="0"/>
  </w:num>
  <w:num w:numId="6" w16cid:durableId="1051266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D72"/>
    <w:rsid w:val="00002241"/>
    <w:rsid w:val="00007AD6"/>
    <w:rsid w:val="00010215"/>
    <w:rsid w:val="000107BA"/>
    <w:rsid w:val="0002205F"/>
    <w:rsid w:val="00023324"/>
    <w:rsid w:val="00027135"/>
    <w:rsid w:val="000429CF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A7D38"/>
    <w:rsid w:val="000B3F21"/>
    <w:rsid w:val="000B4EF3"/>
    <w:rsid w:val="000B72D9"/>
    <w:rsid w:val="000D5832"/>
    <w:rsid w:val="000E28A5"/>
    <w:rsid w:val="000F10A3"/>
    <w:rsid w:val="000F700F"/>
    <w:rsid w:val="00103E3A"/>
    <w:rsid w:val="00112887"/>
    <w:rsid w:val="0012244E"/>
    <w:rsid w:val="001255B5"/>
    <w:rsid w:val="001307C0"/>
    <w:rsid w:val="001330B6"/>
    <w:rsid w:val="00136EF7"/>
    <w:rsid w:val="00146B5D"/>
    <w:rsid w:val="00146C34"/>
    <w:rsid w:val="00147E4E"/>
    <w:rsid w:val="00151C91"/>
    <w:rsid w:val="001548C6"/>
    <w:rsid w:val="00163C59"/>
    <w:rsid w:val="00165042"/>
    <w:rsid w:val="0016733E"/>
    <w:rsid w:val="00185A63"/>
    <w:rsid w:val="00185D7D"/>
    <w:rsid w:val="001C102E"/>
    <w:rsid w:val="001F12DB"/>
    <w:rsid w:val="001F6806"/>
    <w:rsid w:val="00200547"/>
    <w:rsid w:val="00202342"/>
    <w:rsid w:val="00206487"/>
    <w:rsid w:val="00206E31"/>
    <w:rsid w:val="002245EC"/>
    <w:rsid w:val="00231EB7"/>
    <w:rsid w:val="00232DD5"/>
    <w:rsid w:val="002351BA"/>
    <w:rsid w:val="00243011"/>
    <w:rsid w:val="002439F8"/>
    <w:rsid w:val="002467D6"/>
    <w:rsid w:val="002476E9"/>
    <w:rsid w:val="00255DD2"/>
    <w:rsid w:val="00255DD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0141D"/>
    <w:rsid w:val="0031250E"/>
    <w:rsid w:val="00316E69"/>
    <w:rsid w:val="00346E51"/>
    <w:rsid w:val="00363E08"/>
    <w:rsid w:val="0036515A"/>
    <w:rsid w:val="003902FC"/>
    <w:rsid w:val="00394007"/>
    <w:rsid w:val="003A61AA"/>
    <w:rsid w:val="003B2C79"/>
    <w:rsid w:val="003B78D7"/>
    <w:rsid w:val="003D3D65"/>
    <w:rsid w:val="003D601D"/>
    <w:rsid w:val="003D6CC3"/>
    <w:rsid w:val="003E1565"/>
    <w:rsid w:val="003E3836"/>
    <w:rsid w:val="003E4CD1"/>
    <w:rsid w:val="003E5660"/>
    <w:rsid w:val="003F0CDD"/>
    <w:rsid w:val="003F1773"/>
    <w:rsid w:val="003F791B"/>
    <w:rsid w:val="00402C11"/>
    <w:rsid w:val="00422A42"/>
    <w:rsid w:val="00432F4D"/>
    <w:rsid w:val="00436277"/>
    <w:rsid w:val="00457AA2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3370"/>
    <w:rsid w:val="0052595B"/>
    <w:rsid w:val="005273AB"/>
    <w:rsid w:val="00533F65"/>
    <w:rsid w:val="0053572B"/>
    <w:rsid w:val="005406D0"/>
    <w:rsid w:val="00541774"/>
    <w:rsid w:val="005448FD"/>
    <w:rsid w:val="00550401"/>
    <w:rsid w:val="00550684"/>
    <w:rsid w:val="0056779C"/>
    <w:rsid w:val="00572744"/>
    <w:rsid w:val="00575C95"/>
    <w:rsid w:val="00583C8D"/>
    <w:rsid w:val="005856CD"/>
    <w:rsid w:val="00585719"/>
    <w:rsid w:val="00591CB5"/>
    <w:rsid w:val="00592201"/>
    <w:rsid w:val="00594A7E"/>
    <w:rsid w:val="005A6478"/>
    <w:rsid w:val="005B3851"/>
    <w:rsid w:val="005D1553"/>
    <w:rsid w:val="005D1C4C"/>
    <w:rsid w:val="005D37D6"/>
    <w:rsid w:val="005D3F7D"/>
    <w:rsid w:val="005D4657"/>
    <w:rsid w:val="005D6100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70CE4"/>
    <w:rsid w:val="006A00A8"/>
    <w:rsid w:val="006A0CF4"/>
    <w:rsid w:val="006A29CF"/>
    <w:rsid w:val="006A300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66315"/>
    <w:rsid w:val="00772E97"/>
    <w:rsid w:val="00775853"/>
    <w:rsid w:val="00783DE9"/>
    <w:rsid w:val="0079436B"/>
    <w:rsid w:val="00794BE5"/>
    <w:rsid w:val="007977ED"/>
    <w:rsid w:val="007A2736"/>
    <w:rsid w:val="007A2E1B"/>
    <w:rsid w:val="007B0748"/>
    <w:rsid w:val="007B1BDD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A96"/>
    <w:rsid w:val="008621A8"/>
    <w:rsid w:val="008621AC"/>
    <w:rsid w:val="00867810"/>
    <w:rsid w:val="00875A65"/>
    <w:rsid w:val="008801B8"/>
    <w:rsid w:val="00883861"/>
    <w:rsid w:val="008945B9"/>
    <w:rsid w:val="008A7CF4"/>
    <w:rsid w:val="008B255A"/>
    <w:rsid w:val="008B2838"/>
    <w:rsid w:val="008C0633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2CB0"/>
    <w:rsid w:val="00963D90"/>
    <w:rsid w:val="00967D93"/>
    <w:rsid w:val="0097449A"/>
    <w:rsid w:val="00975B40"/>
    <w:rsid w:val="009860E1"/>
    <w:rsid w:val="009864E9"/>
    <w:rsid w:val="00992180"/>
    <w:rsid w:val="00992EE7"/>
    <w:rsid w:val="00997953"/>
    <w:rsid w:val="00997E2F"/>
    <w:rsid w:val="009A028C"/>
    <w:rsid w:val="009C687E"/>
    <w:rsid w:val="009D1493"/>
    <w:rsid w:val="009D50A8"/>
    <w:rsid w:val="009E134F"/>
    <w:rsid w:val="009E203B"/>
    <w:rsid w:val="009E459D"/>
    <w:rsid w:val="009E4F1D"/>
    <w:rsid w:val="009E59D7"/>
    <w:rsid w:val="009F25C4"/>
    <w:rsid w:val="009F4038"/>
    <w:rsid w:val="009F57DA"/>
    <w:rsid w:val="00A034AB"/>
    <w:rsid w:val="00A07D14"/>
    <w:rsid w:val="00A23EDF"/>
    <w:rsid w:val="00A45556"/>
    <w:rsid w:val="00A67827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34E6"/>
    <w:rsid w:val="00CA4FE3"/>
    <w:rsid w:val="00CA7C9C"/>
    <w:rsid w:val="00CC6AF1"/>
    <w:rsid w:val="00CD16A3"/>
    <w:rsid w:val="00CE1DBF"/>
    <w:rsid w:val="00CE6FD1"/>
    <w:rsid w:val="00CE6FE4"/>
    <w:rsid w:val="00CE7E1A"/>
    <w:rsid w:val="00D10489"/>
    <w:rsid w:val="00D15626"/>
    <w:rsid w:val="00D2113F"/>
    <w:rsid w:val="00D33852"/>
    <w:rsid w:val="00D4121E"/>
    <w:rsid w:val="00D53E31"/>
    <w:rsid w:val="00D5704F"/>
    <w:rsid w:val="00D60F57"/>
    <w:rsid w:val="00D615AB"/>
    <w:rsid w:val="00D652F8"/>
    <w:rsid w:val="00D67152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F3AC5"/>
    <w:rsid w:val="00DF4A57"/>
    <w:rsid w:val="00DF6E1D"/>
    <w:rsid w:val="00DF7D3B"/>
    <w:rsid w:val="00E03BF8"/>
    <w:rsid w:val="00E111DF"/>
    <w:rsid w:val="00E128CF"/>
    <w:rsid w:val="00E17B8F"/>
    <w:rsid w:val="00E3019E"/>
    <w:rsid w:val="00E353C8"/>
    <w:rsid w:val="00E35D6C"/>
    <w:rsid w:val="00E379B2"/>
    <w:rsid w:val="00E41F2F"/>
    <w:rsid w:val="00E42C2A"/>
    <w:rsid w:val="00E4770B"/>
    <w:rsid w:val="00E501A4"/>
    <w:rsid w:val="00E50C62"/>
    <w:rsid w:val="00E53AB3"/>
    <w:rsid w:val="00E552AC"/>
    <w:rsid w:val="00E61D57"/>
    <w:rsid w:val="00E64D72"/>
    <w:rsid w:val="00E706A0"/>
    <w:rsid w:val="00E7252E"/>
    <w:rsid w:val="00E73AF5"/>
    <w:rsid w:val="00E82FED"/>
    <w:rsid w:val="00E90420"/>
    <w:rsid w:val="00E9193D"/>
    <w:rsid w:val="00EA39E8"/>
    <w:rsid w:val="00EB4646"/>
    <w:rsid w:val="00EC4230"/>
    <w:rsid w:val="00EC6CF4"/>
    <w:rsid w:val="00ED0E3F"/>
    <w:rsid w:val="00ED2668"/>
    <w:rsid w:val="00EE772F"/>
    <w:rsid w:val="00EF40C4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87DEE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E199E"/>
    <w:rsid w:val="00FE26ED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2855</Words>
  <Characters>19702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2024-10-22T07:18:00Z</dcterms:created>
  <dcterms:modified xsi:type="dcterms:W3CDTF">2024-11-28T10:23:00Z</dcterms:modified>
</cp:coreProperties>
</file>