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E1D7" w14:textId="77777777" w:rsidR="00A97F26" w:rsidRDefault="00A97F26" w:rsidP="00A97F26">
      <w:pPr>
        <w:rPr>
          <w:rFonts w:ascii="Garamond" w:hAnsi="Garamond" w:cs="Courier New"/>
          <w:sz w:val="24"/>
          <w:szCs w:val="24"/>
        </w:rPr>
      </w:pPr>
    </w:p>
    <w:p w14:paraId="6FDAC799" w14:textId="6B130978" w:rsidR="00A97F26" w:rsidRPr="00691D92" w:rsidRDefault="00A97F26" w:rsidP="00A97F26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3ECE0D" wp14:editId="410EAD16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471370" w14:textId="77777777" w:rsidR="00A97F26" w:rsidRDefault="00A97F26" w:rsidP="00A97F26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60D2BF3" wp14:editId="225BFB18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ECE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A471370" w14:textId="77777777" w:rsidR="00A97F26" w:rsidRDefault="00A97F26" w:rsidP="00A97F26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660D2BF3" wp14:editId="225BFB18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273A9D4" wp14:editId="0BBFA2D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BC9E30" w14:textId="77777777" w:rsidR="00A97F26" w:rsidRDefault="00A97F26" w:rsidP="00A97F26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4865C13" wp14:editId="31870245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3A9D4" id="Szövegdoboz 2" o:spid="_x0000_s1027" type="#_x0000_t202" style="position:absolute;left:0;text-align:left;margin-left:-8.95pt;margin-top:-27.7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3DBC9E30" w14:textId="77777777" w:rsidR="00A97F26" w:rsidRDefault="00A97F26" w:rsidP="00A97F26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04865C13" wp14:editId="31870245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91D92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37283843" w14:textId="77777777" w:rsidR="00A97F26" w:rsidRPr="00987309" w:rsidRDefault="00A97F26" w:rsidP="00A97F26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691D92">
        <w:rPr>
          <w:rFonts w:ascii="Monotype Corsiva" w:hAnsi="Monotype Corsiva"/>
          <w:b/>
          <w:bCs/>
          <w:i/>
          <w:sz w:val="28"/>
          <w:szCs w:val="28"/>
        </w:rPr>
        <w:t>6647 Csanytelek, Volentér János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341AA077" w14:textId="15F1C887" w:rsidR="00A53F29" w:rsidRPr="00A97F26" w:rsidRDefault="00A97F26" w:rsidP="00A97F26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4E1FB005" w14:textId="77777777" w:rsidR="00A97F26" w:rsidRDefault="00A97F26">
      <w:pPr>
        <w:rPr>
          <w:rFonts w:ascii="Garamond" w:hAnsi="Garamond"/>
        </w:rPr>
      </w:pPr>
    </w:p>
    <w:p w14:paraId="75534A68" w14:textId="37D6A8C2" w:rsidR="00A53F29" w:rsidRDefault="00A53F29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8D3A07">
        <w:rPr>
          <w:rFonts w:ascii="Garamond" w:hAnsi="Garamond"/>
        </w:rPr>
        <w:t>302-1</w:t>
      </w:r>
      <w:r>
        <w:rPr>
          <w:rFonts w:ascii="Garamond" w:hAnsi="Garamond"/>
        </w:rPr>
        <w:t>/2023.</w:t>
      </w:r>
    </w:p>
    <w:p w14:paraId="041F186F" w14:textId="052FED76" w:rsidR="00A97F26" w:rsidRDefault="00A97F26" w:rsidP="00A97F2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AB58DA1" w14:textId="052CEC60" w:rsidR="00A97F26" w:rsidRDefault="00A97F26" w:rsidP="00A97F2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</w:t>
      </w:r>
      <w:r w:rsidR="001A650F">
        <w:rPr>
          <w:rFonts w:ascii="Garamond" w:hAnsi="Garamond"/>
          <w:b/>
          <w:bCs/>
        </w:rPr>
        <w:t>Képviselő-testület 2023. februári ülésére</w:t>
      </w:r>
    </w:p>
    <w:p w14:paraId="011AAE18" w14:textId="77777777" w:rsidR="00A97F26" w:rsidRPr="00A97F26" w:rsidRDefault="00A97F26" w:rsidP="00A97F26">
      <w:pPr>
        <w:jc w:val="center"/>
        <w:rPr>
          <w:rFonts w:ascii="Garamond" w:hAnsi="Garamond"/>
          <w:b/>
          <w:bCs/>
        </w:rPr>
      </w:pPr>
    </w:p>
    <w:p w14:paraId="511FDB43" w14:textId="5387BB45" w:rsidR="00A53F29" w:rsidRDefault="00A53F29" w:rsidP="00A53F29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önkormányzat szervezeti és működési szabályzatáról szóló 14/2015. (XI. 27.) önkormányzati rendelet módosításának kezdeményezése, önkormányzati rendeletbe foglalása</w:t>
      </w:r>
    </w:p>
    <w:p w14:paraId="1928314B" w14:textId="35F7BAF3" w:rsidR="00A53F29" w:rsidRDefault="00A53F29" w:rsidP="00A53F29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7BCBD8A9" w14:textId="01E3C9B2" w:rsidR="00A53F29" w:rsidRDefault="00A53F29" w:rsidP="00A53F29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1ABD5110" w14:textId="6BDB8A69" w:rsidR="00A53F29" w:rsidRDefault="00A53F29" w:rsidP="00A53F29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6059C671" w14:textId="562BBD77" w:rsidR="00A53F29" w:rsidRDefault="00A53F29" w:rsidP="00A53F2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2022. július 19. napján a központi jogalkotó Magyarország Alaptörvényének 11. módosításáról hozott döntést. A törvényhez fűzött általános indokolás értelmében az </w:t>
      </w:r>
      <w:r>
        <w:rPr>
          <w:rFonts w:ascii="Garamond" w:hAnsi="Garamond"/>
          <w:i/>
          <w:iCs/>
        </w:rPr>
        <w:t xml:space="preserve">ország területi tagozódására, történelmi hagyományokra a megyék elnevezését </w:t>
      </w:r>
      <w:r>
        <w:rPr>
          <w:rFonts w:ascii="Garamond" w:hAnsi="Garamond"/>
          <w:i/>
          <w:iCs/>
          <w:u w:val="single"/>
        </w:rPr>
        <w:t xml:space="preserve">vármegyékre </w:t>
      </w:r>
      <w:r>
        <w:rPr>
          <w:rFonts w:ascii="Garamond" w:hAnsi="Garamond"/>
          <w:i/>
          <w:iCs/>
        </w:rPr>
        <w:t xml:space="preserve">változott 2023. január 1. napjától. </w:t>
      </w:r>
      <w:r>
        <w:rPr>
          <w:rFonts w:ascii="Garamond" w:hAnsi="Garamond"/>
        </w:rPr>
        <w:t xml:space="preserve">A magyar közigazgatás területi egységei az államalapítástól 1949. évig a vármegyék voltak, melynek a magyar jogrendbe való visszaállítása </w:t>
      </w:r>
      <w:r w:rsidR="000C7543">
        <w:rPr>
          <w:rFonts w:ascii="Garamond" w:hAnsi="Garamond"/>
        </w:rPr>
        <w:t xml:space="preserve">lehetővé teszi az ezeréves magyar államiság alkotmányos hagyományainak tovább élését. A vármegye kifejezés a magyar államszervezés, a nemzeti szuverenitás és általa az európai civilizáció megvédésére irányul. </w:t>
      </w:r>
    </w:p>
    <w:p w14:paraId="30E8B1BD" w14:textId="62ADC886" w:rsidR="00AC6949" w:rsidRDefault="000C7543" w:rsidP="00A53F2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Alaptörvény módosítása a 4. cikk   - F) pont (2) bekezdésében – kapott helyet, miszerint a megyékre szövegrész helyett </w:t>
      </w:r>
      <w:r w:rsidR="0045654F">
        <w:rPr>
          <w:rFonts w:ascii="Garamond" w:hAnsi="Garamond"/>
        </w:rPr>
        <w:t>a vármegyékre szövegrész lépett. A módosító jogszabály értelmében a megye elnevezés mindaddig használható, amíg az Alaptörvény szerinti vármegyére való áttérés a felelős gazdálkodás elveihez való igazodása meg nem valósul</w:t>
      </w:r>
      <w:r w:rsidR="00AC6949">
        <w:rPr>
          <w:rFonts w:ascii="Garamond" w:hAnsi="Garamond"/>
        </w:rPr>
        <w:t xml:space="preserve">. </w:t>
      </w:r>
    </w:p>
    <w:p w14:paraId="4AAB049A" w14:textId="541FCAA4" w:rsidR="00A03877" w:rsidRDefault="00794AA8" w:rsidP="00A53F2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módosítás az SZMSZ </w:t>
      </w:r>
      <w:r w:rsidR="00041354">
        <w:rPr>
          <w:rFonts w:ascii="Garamond" w:hAnsi="Garamond"/>
        </w:rPr>
        <w:t xml:space="preserve">1. § (3) bekezdés a) pontját érinti: </w:t>
      </w:r>
      <w:r w:rsidR="00AC6949">
        <w:rPr>
          <w:rFonts w:ascii="Garamond" w:hAnsi="Garamond"/>
        </w:rPr>
        <w:t xml:space="preserve">a </w:t>
      </w:r>
      <w:r w:rsidR="00041354">
        <w:rPr>
          <w:rFonts w:ascii="Garamond" w:hAnsi="Garamond"/>
        </w:rPr>
        <w:t xml:space="preserve"> </w:t>
      </w:r>
      <w:r w:rsidR="00AC6949">
        <w:rPr>
          <w:rFonts w:ascii="Garamond" w:hAnsi="Garamond"/>
        </w:rPr>
        <w:t>„</w:t>
      </w:r>
      <w:r w:rsidR="00041354">
        <w:rPr>
          <w:rFonts w:ascii="Garamond" w:hAnsi="Garamond"/>
        </w:rPr>
        <w:t>megy</w:t>
      </w:r>
      <w:r w:rsidR="00A03877">
        <w:rPr>
          <w:rFonts w:ascii="Garamond" w:hAnsi="Garamond"/>
        </w:rPr>
        <w:t>én</w:t>
      </w:r>
      <w:r w:rsidR="00041354">
        <w:rPr>
          <w:rFonts w:ascii="Garamond" w:hAnsi="Garamond"/>
        </w:rPr>
        <w:t>” szöveg helyébe a „ vármegy</w:t>
      </w:r>
      <w:r w:rsidR="00A03877">
        <w:rPr>
          <w:rFonts w:ascii="Garamond" w:hAnsi="Garamond"/>
        </w:rPr>
        <w:t>én</w:t>
      </w:r>
      <w:r w:rsidR="00041354">
        <w:rPr>
          <w:rFonts w:ascii="Garamond" w:hAnsi="Garamond"/>
        </w:rPr>
        <w:t xml:space="preserve">” </w:t>
      </w:r>
      <w:r w:rsidR="00AC6949">
        <w:rPr>
          <w:rFonts w:ascii="Garamond" w:hAnsi="Garamond"/>
        </w:rPr>
        <w:t>szöveg lép.</w:t>
      </w:r>
    </w:p>
    <w:p w14:paraId="79B9A609" w14:textId="77777777" w:rsidR="00AC6949" w:rsidRDefault="00041354" w:rsidP="00A53F2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 21. § (1) bekezdése szerepel a testület ülésének jegyzőkönyve készítése szabályozása, miszerint </w:t>
      </w:r>
      <w:r w:rsidR="00A03877">
        <w:rPr>
          <w:rFonts w:ascii="Garamond" w:hAnsi="Garamond"/>
        </w:rPr>
        <w:t xml:space="preserve">az első tagmondatában </w:t>
      </w:r>
      <w:r w:rsidR="00AC6949">
        <w:rPr>
          <w:rFonts w:ascii="Garamond" w:hAnsi="Garamond"/>
        </w:rPr>
        <w:t>a</w:t>
      </w:r>
      <w:r w:rsidR="00A03877">
        <w:rPr>
          <w:rFonts w:ascii="Garamond" w:hAnsi="Garamond"/>
        </w:rPr>
        <w:t xml:space="preserve"> képviselő-testület ülésén elhangzottak rögzítése </w:t>
      </w:r>
      <w:r w:rsidR="00AC6949">
        <w:rPr>
          <w:rFonts w:ascii="Garamond" w:hAnsi="Garamond"/>
        </w:rPr>
        <w:t>„</w:t>
      </w:r>
      <w:r w:rsidR="00A03877" w:rsidRPr="00AC6949">
        <w:rPr>
          <w:rFonts w:ascii="Garamond" w:hAnsi="Garamond"/>
          <w:i/>
          <w:iCs/>
        </w:rPr>
        <w:t>hangfelvételen</w:t>
      </w:r>
      <w:r w:rsidR="00AC6949">
        <w:rPr>
          <w:rFonts w:ascii="Garamond" w:hAnsi="Garamond"/>
          <w:i/>
          <w:iCs/>
        </w:rPr>
        <w:t>”</w:t>
      </w:r>
      <w:r w:rsidR="00A03877">
        <w:rPr>
          <w:rFonts w:ascii="Garamond" w:hAnsi="Garamond"/>
        </w:rPr>
        <w:t xml:space="preserve"> tör</w:t>
      </w:r>
      <w:r w:rsidR="00AC6949">
        <w:rPr>
          <w:rFonts w:ascii="Garamond" w:hAnsi="Garamond"/>
        </w:rPr>
        <w:t>ténik szöveg helyébe a  „</w:t>
      </w:r>
      <w:r w:rsidR="00A03877">
        <w:rPr>
          <w:rFonts w:ascii="Garamond" w:hAnsi="Garamond"/>
          <w:i/>
          <w:iCs/>
        </w:rPr>
        <w:t xml:space="preserve">szövegszerkesztőbe </w:t>
      </w:r>
      <w:r w:rsidR="00A03877">
        <w:rPr>
          <w:rFonts w:ascii="Garamond" w:hAnsi="Garamond"/>
        </w:rPr>
        <w:t xml:space="preserve">történik” </w:t>
      </w:r>
      <w:r w:rsidR="00AC6949">
        <w:rPr>
          <w:rFonts w:ascii="Garamond" w:hAnsi="Garamond"/>
        </w:rPr>
        <w:t xml:space="preserve">szöveg </w:t>
      </w:r>
      <w:r w:rsidR="00A03877">
        <w:rPr>
          <w:rFonts w:ascii="Garamond" w:hAnsi="Garamond"/>
        </w:rPr>
        <w:t xml:space="preserve">jelenik meg. Ennek indoka, hogy a testület tagjai közül több évtizede óta nem fordult elő olyan eset, hogy kezdeményezte volna az ülésen elhangzottak visszahallgatását, mert az ülésen nem szószerinti, hanem lényegere-törő leírás alkalmazását írja elő a jogalkotó. A magnó kezelése külön odafigyelést igényel, költséggel jár és munkaigényes annak lehallgatása és feltöltése. Jelentősen megkönnyíti a jegyzőkönyv készítés folyamatát a szövegszerkesztő használata, mert azzal időt és pénzt tud az önkormányzat költségvetésében megtakarítani. Nincs olyan más szabályozás, ami tételesen előírná a hangfelvétel készítés kötelező alkalmazását, ezért kezdeményezem a fent írt változás rendeletbe való rögzítését. </w:t>
      </w:r>
    </w:p>
    <w:p w14:paraId="6F642DBD" w14:textId="3286D786" w:rsidR="00041354" w:rsidRDefault="00A03877" w:rsidP="00A53F2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356362">
        <w:rPr>
          <w:rFonts w:ascii="Garamond" w:hAnsi="Garamond"/>
        </w:rPr>
        <w:t>A rendelet 28. § (8) bekezdése tartalmazza a hivatal feladatellátása során alkalmazható programok ügycsoportokra bontott megjelenítését, amely annak kiad</w:t>
      </w:r>
      <w:r w:rsidR="00420C95">
        <w:rPr>
          <w:rFonts w:ascii="Garamond" w:hAnsi="Garamond"/>
        </w:rPr>
        <w:t>á</w:t>
      </w:r>
      <w:r w:rsidR="00356362">
        <w:rPr>
          <w:rFonts w:ascii="Garamond" w:hAnsi="Garamond"/>
        </w:rPr>
        <w:t>sa óta többször is változott, így az informatikai háttér lekövetése érdekében elkerülhetetlen ennek a bekezd</w:t>
      </w:r>
      <w:r w:rsidR="00420C95">
        <w:rPr>
          <w:rFonts w:ascii="Garamond" w:hAnsi="Garamond"/>
        </w:rPr>
        <w:t>ésnek módosítása, amely a rendelet-tervezetben lekövethető.</w:t>
      </w:r>
    </w:p>
    <w:p w14:paraId="7A06FFC6" w14:textId="0D9209C5" w:rsidR="00420C95" w:rsidRDefault="00420C95" w:rsidP="00A53F2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hatályba léptetése időpontjaként 2023. március 1. napját javaslom a csatolt indokolásban foglatka fegyelembe-vételével.</w:t>
      </w:r>
    </w:p>
    <w:p w14:paraId="00D14C95" w14:textId="7873B283" w:rsidR="0045654F" w:rsidRDefault="0045654F" w:rsidP="00A53F2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8D4A40A" w14:textId="77777777" w:rsidR="0077693B" w:rsidRDefault="0077693B" w:rsidP="0077693B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30A5C5D6" w14:textId="77777777" w:rsidR="0077693B" w:rsidRDefault="0077693B" w:rsidP="0077693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14/2012. (XI. 27.) önkormányzati rendelet (a továbbiakban: SZMSZ) 22. § (8) bekezdésében rögzített </w:t>
      </w:r>
      <w:r>
        <w:rPr>
          <w:rFonts w:ascii="Garamond" w:hAnsi="Garamond"/>
          <w:i/>
        </w:rPr>
        <w:t>feladatom teljesítése érdekében</w:t>
      </w:r>
      <w:r>
        <w:rPr>
          <w:rFonts w:ascii="Garamond" w:hAnsi="Garamond"/>
        </w:rPr>
        <w:t xml:space="preserve"> és az ugyanezen § (1) bekezdésében írt </w:t>
      </w:r>
      <w:r>
        <w:rPr>
          <w:rFonts w:ascii="Garamond" w:hAnsi="Garamond"/>
          <w:i/>
        </w:rPr>
        <w:t>rendelet alkotási kezdeményezési jogkörömben eljárva</w:t>
      </w:r>
      <w:r>
        <w:rPr>
          <w:rFonts w:ascii="Garamond" w:hAnsi="Garamond"/>
        </w:rPr>
        <w:t xml:space="preserve"> nyújtom be az általam  elkészített,  ezen előterjesztéshez csatolt rendelet-tervezetet jóváhagyásra.</w:t>
      </w:r>
    </w:p>
    <w:p w14:paraId="62A3710A" w14:textId="77777777" w:rsidR="0077693B" w:rsidRDefault="0077693B" w:rsidP="0077693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 22. § (5)-(6) bekezdésében írt kötelezettségemnek is eleget-téve arról is tájékoztatom Önöket, hogy az általam elkészített rendelet-tervezet szövegét és annak 1. mellékletét a hivatal hirdetőtábláján 2022. november 10. napján közzétettem és az 5 napos lakossági véleményezési határidő eltelte után megállapítottam, hogy a rendelet-tervezethez </w:t>
      </w:r>
      <w:r>
        <w:rPr>
          <w:rFonts w:ascii="Garamond" w:hAnsi="Garamond"/>
          <w:i/>
        </w:rPr>
        <w:t xml:space="preserve">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rendelet-tervezet előkészítésébe bevont </w:t>
      </w:r>
      <w:r>
        <w:rPr>
          <w:rFonts w:ascii="Garamond" w:hAnsi="Garamond"/>
          <w:i/>
        </w:rPr>
        <w:t>Ügyrendi Bizottságot</w:t>
      </w:r>
      <w:r>
        <w:rPr>
          <w:rFonts w:ascii="Garamond" w:hAnsi="Garamond"/>
        </w:rPr>
        <w:t xml:space="preserve">  tájékoztattam. </w:t>
      </w:r>
    </w:p>
    <w:p w14:paraId="688352B0" w14:textId="77777777" w:rsidR="00097AB3" w:rsidRDefault="0077693B" w:rsidP="0077693B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önkormányzati rendelet-tervezetet, annak Képviselő-testület elé terjesztése előtt az SZMSZ  22. § (2)-(3) bekezdésben írt módon </w:t>
      </w:r>
      <w:r>
        <w:rPr>
          <w:rFonts w:ascii="Garamond" w:hAnsi="Garamond"/>
          <w:i/>
        </w:rPr>
        <w:t>véleményeztetni kell az Ügyrendi Bizottsággal</w:t>
      </w:r>
      <w:r>
        <w:rPr>
          <w:rFonts w:ascii="Garamond" w:hAnsi="Garamond"/>
        </w:rPr>
        <w:t xml:space="preserve"> és 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rendelet előkészítése során valamely szerv </w:t>
      </w:r>
      <w:r>
        <w:rPr>
          <w:rFonts w:ascii="Garamond" w:hAnsi="Garamond"/>
        </w:rPr>
        <w:t xml:space="preserve">(esetünkben a bizottságok) </w:t>
      </w:r>
    </w:p>
    <w:p w14:paraId="00E3BD27" w14:textId="77777777" w:rsidR="00097AB3" w:rsidRDefault="00097AB3" w:rsidP="0077693B">
      <w:pPr>
        <w:jc w:val="both"/>
        <w:rPr>
          <w:rFonts w:ascii="Garamond" w:hAnsi="Garamond"/>
        </w:rPr>
      </w:pPr>
    </w:p>
    <w:p w14:paraId="07CB876A" w14:textId="77777777" w:rsidR="00097AB3" w:rsidRDefault="00097AB3" w:rsidP="0077693B">
      <w:pPr>
        <w:jc w:val="both"/>
        <w:rPr>
          <w:rFonts w:ascii="Garamond" w:hAnsi="Garamond"/>
        </w:rPr>
      </w:pPr>
    </w:p>
    <w:p w14:paraId="4D7851BA" w14:textId="77777777" w:rsidR="00097AB3" w:rsidRDefault="00097AB3" w:rsidP="0077693B">
      <w:pPr>
        <w:jc w:val="both"/>
        <w:rPr>
          <w:rFonts w:ascii="Garamond" w:hAnsi="Garamond"/>
        </w:rPr>
      </w:pPr>
    </w:p>
    <w:p w14:paraId="474B6885" w14:textId="2616A302" w:rsidR="0077693B" w:rsidRPr="0077693B" w:rsidRDefault="0077693B" w:rsidP="0077693B">
      <w:pPr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jogszabályban (SZMSZ mint önkormányzati rendelet) </w:t>
      </w:r>
      <w:r>
        <w:rPr>
          <w:rFonts w:ascii="Garamond" w:hAnsi="Garamond"/>
          <w:b/>
          <w:iCs/>
        </w:rPr>
        <w:t xml:space="preserve">érvényességi kelléknek minősülő véleményezési jogkörrel rendelkezik, </w:t>
      </w:r>
      <w:r>
        <w:rPr>
          <w:rFonts w:ascii="Garamond" w:hAnsi="Garamond"/>
          <w:bCs/>
          <w:iCs/>
        </w:rPr>
        <w:t xml:space="preserve"> akkor </w:t>
      </w:r>
      <w:r>
        <w:rPr>
          <w:rFonts w:ascii="Garamond" w:hAnsi="Garamond"/>
          <w:b/>
          <w:iCs/>
        </w:rPr>
        <w:t xml:space="preserve">a </w:t>
      </w:r>
      <w:r>
        <w:rPr>
          <w:rFonts w:ascii="Garamond" w:hAnsi="Garamond"/>
          <w:b/>
          <w:iCs/>
          <w:u w:val="single"/>
        </w:rPr>
        <w:t>rendelet-tervezet bevezető részében</w:t>
      </w:r>
      <w:r>
        <w:rPr>
          <w:rFonts w:ascii="Garamond" w:hAnsi="Garamond"/>
          <w:b/>
          <w:iCs/>
        </w:rPr>
        <w:t xml:space="preserve"> </w:t>
      </w:r>
      <w:r>
        <w:rPr>
          <w:rFonts w:ascii="Garamond" w:hAnsi="Garamond"/>
          <w:b/>
          <w:iCs/>
          <w:u w:val="single"/>
        </w:rPr>
        <w:t>a véleményezés tényét fel kell tüntetni.</w:t>
      </w:r>
      <w:r>
        <w:rPr>
          <w:rFonts w:ascii="Garamond" w:hAnsi="Garamond"/>
          <w:iCs/>
        </w:rPr>
        <w:t xml:space="preserve"> </w:t>
      </w:r>
    </w:p>
    <w:p w14:paraId="0FA9E720" w14:textId="084008AC" w:rsidR="0077693B" w:rsidRDefault="0077693B" w:rsidP="0077693B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arra, hogy a jogalkotásról szóló 2010. évi CXXX. törvény (a továbbiakban: Jat.) 17. §-a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 xml:space="preserve">kötelezett, ezért annak is eleget téve, ezen előterjesztéshez mellékelem az általam vélelmezett, e rendelet végrehajtása során jelentkező várható kihatásokat.A Jat. 18. §-a előírja a jogszabály előkészítője számára azon kötelezettséget is, hogy a rendelet- tervezetéhez </w:t>
      </w:r>
      <w:r>
        <w:rPr>
          <w:rFonts w:ascii="Garamond" w:hAnsi="Garamond"/>
          <w:i/>
        </w:rPr>
        <w:t xml:space="preserve">indokolást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 rendelet-tervezetben foglaltak könnyebb értelmezése érdekében.</w:t>
      </w:r>
    </w:p>
    <w:p w14:paraId="041468C2" w14:textId="77777777" w:rsidR="0077693B" w:rsidRPr="00637C99" w:rsidRDefault="0077693B" w:rsidP="0077693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F12E947" w14:textId="64FA75D9" w:rsidR="00041354" w:rsidRPr="000D6CE8" w:rsidRDefault="0077693B" w:rsidP="000D6CE8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06A39B43" w14:textId="3E6A7675" w:rsidR="0077693B" w:rsidRPr="00041354" w:rsidRDefault="0077693B" w:rsidP="0077693B">
      <w:pPr>
        <w:jc w:val="both"/>
        <w:rPr>
          <w:rFonts w:ascii="Garamond" w:hAnsi="Garamond"/>
        </w:rPr>
      </w:pPr>
      <w:r>
        <w:rPr>
          <w:rFonts w:ascii="Garamond" w:hAnsi="Garamond"/>
        </w:rPr>
        <w:t>A tárgyi rendelet-tervezet a Jat.-ban és annak végrehajtására kiadott, a jogszabályszerkesztéséről szóló 61/2009. (XII. 14.) IRM rendeletben rögzített szabályoknak megfelel, ezért a Jat. 22. § (2) bekezdésében foglaltakra hivatkozva</w:t>
      </w:r>
      <w:r w:rsidR="0004135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ezen előterjesztés és a hozzá csatolt előzetes hatásvizsgálat, az általános és részletes indokolásban foglaltak, a normaszöveget tartalmazó rendelet-tervezet megvitatását, az Ügyrendi Bizottság és a Pénzügyi Ellenőrző, Foglalkozáspolitikai és Településfejlesztési Bizottság által kiadott előterjesztésében írtak figyelembevételét, a felsoroltak változtatás nélküli elfogadását és a tárgyi rendelet-tervezetből helyi önkormányzati rendelet alkotását.</w:t>
      </w:r>
    </w:p>
    <w:p w14:paraId="4D87FA75" w14:textId="77777777" w:rsidR="0077693B" w:rsidRDefault="0077693B" w:rsidP="0077693B">
      <w:pPr>
        <w:jc w:val="both"/>
        <w:rPr>
          <w:rFonts w:ascii="Garamond" w:hAnsi="Garamond"/>
          <w:i/>
        </w:rPr>
      </w:pPr>
    </w:p>
    <w:p w14:paraId="74A03F48" w14:textId="34F1C507" w:rsidR="0077693B" w:rsidRDefault="0077693B" w:rsidP="0077693B">
      <w:pPr>
        <w:rPr>
          <w:rFonts w:ascii="Garamond" w:hAnsi="Garamond"/>
        </w:rPr>
      </w:pPr>
      <w:r>
        <w:rPr>
          <w:rFonts w:ascii="Garamond" w:hAnsi="Garamond"/>
        </w:rPr>
        <w:t xml:space="preserve">C s a n y t e l e k, 2023. február </w:t>
      </w:r>
      <w:r w:rsidR="00097AB3">
        <w:rPr>
          <w:rFonts w:ascii="Garamond" w:hAnsi="Garamond"/>
        </w:rPr>
        <w:t xml:space="preserve"> 9</w:t>
      </w:r>
      <w:r>
        <w:rPr>
          <w:rFonts w:ascii="Garamond" w:hAnsi="Garamond"/>
        </w:rPr>
        <w:t>.</w:t>
      </w:r>
    </w:p>
    <w:p w14:paraId="42A892C2" w14:textId="77777777" w:rsidR="0077693B" w:rsidRDefault="0077693B" w:rsidP="0077693B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8130201" w14:textId="15FB8F6F" w:rsidR="0077693B" w:rsidRDefault="0077693B" w:rsidP="0077693B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6EBA583C" w14:textId="7DD7D780" w:rsidR="0077693B" w:rsidRDefault="0077693B" w:rsidP="0077693B">
      <w:pPr>
        <w:rPr>
          <w:rFonts w:ascii="Garamond" w:hAnsi="Garamond"/>
        </w:rPr>
      </w:pPr>
    </w:p>
    <w:p w14:paraId="5C73444E" w14:textId="77777777" w:rsidR="0077693B" w:rsidRDefault="0077693B" w:rsidP="0077693B">
      <w:pPr>
        <w:rPr>
          <w:rFonts w:ascii="Garamond" w:hAnsi="Garamond"/>
        </w:rPr>
      </w:pPr>
    </w:p>
    <w:p w14:paraId="6C40BEEC" w14:textId="77777777" w:rsidR="0077693B" w:rsidRDefault="0077693B" w:rsidP="0077693B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……………………………..</w:t>
      </w:r>
    </w:p>
    <w:p w14:paraId="0AE9466B" w14:textId="0C899A92" w:rsidR="0077693B" w:rsidRDefault="0077693B" w:rsidP="0077693B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Kató Pálné jegyző</w:t>
      </w:r>
    </w:p>
    <w:p w14:paraId="323F32E4" w14:textId="77777777" w:rsidR="0077693B" w:rsidRDefault="0077693B" w:rsidP="0077693B">
      <w:pPr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3D901B43" w14:textId="77777777" w:rsidR="0077693B" w:rsidRDefault="0077693B" w:rsidP="0077693B"/>
    <w:p w14:paraId="5C72A949" w14:textId="77777777" w:rsidR="0077693B" w:rsidRPr="009232E9" w:rsidRDefault="0077693B" w:rsidP="0077693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9944940" w14:textId="77777777" w:rsidR="0045654F" w:rsidRPr="00A53F29" w:rsidRDefault="0045654F" w:rsidP="00A53F2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3A1070" w14:textId="4D955228" w:rsidR="00A53F29" w:rsidRDefault="00A53F29" w:rsidP="00A53F29">
      <w:pPr>
        <w:ind w:left="709" w:hanging="709"/>
        <w:rPr>
          <w:rFonts w:ascii="Garamond" w:hAnsi="Garamond"/>
        </w:rPr>
      </w:pPr>
    </w:p>
    <w:p w14:paraId="747DAE95" w14:textId="77777777" w:rsidR="00A53F29" w:rsidRPr="00A53F29" w:rsidRDefault="00A53F29" w:rsidP="00A53F29">
      <w:pPr>
        <w:ind w:left="709" w:hanging="709"/>
        <w:rPr>
          <w:rFonts w:ascii="Garamond" w:hAnsi="Garamond"/>
          <w:i/>
          <w:iCs/>
        </w:rPr>
      </w:pPr>
    </w:p>
    <w:sectPr w:rsidR="00A53F29" w:rsidRPr="00A53F29" w:rsidSect="00A97F26">
      <w:pgSz w:w="11906" w:h="16838"/>
      <w:pgMar w:top="284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29"/>
    <w:rsid w:val="00041354"/>
    <w:rsid w:val="00097AB3"/>
    <w:rsid w:val="000C7543"/>
    <w:rsid w:val="000D6CE8"/>
    <w:rsid w:val="001A650F"/>
    <w:rsid w:val="00356362"/>
    <w:rsid w:val="00420C95"/>
    <w:rsid w:val="0045654F"/>
    <w:rsid w:val="005406D0"/>
    <w:rsid w:val="0077693B"/>
    <w:rsid w:val="007872CE"/>
    <w:rsid w:val="00794AA8"/>
    <w:rsid w:val="008D3A07"/>
    <w:rsid w:val="00A03877"/>
    <w:rsid w:val="00A53F29"/>
    <w:rsid w:val="00A97F26"/>
    <w:rsid w:val="00AC6949"/>
    <w:rsid w:val="00BB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9818C"/>
  <w15:chartTrackingRefBased/>
  <w15:docId w15:val="{F24F0A2D-3687-47EA-80D4-918351B7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97F26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kern w:val="0"/>
      <w:sz w:val="24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7F26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97F26"/>
    <w:rPr>
      <w:rFonts w:ascii="Arial Narrow" w:eastAsia="Times New Roman" w:hAnsi="Arial Narrow" w:cs="Times New Roman"/>
      <w:b/>
      <w:kern w:val="0"/>
      <w:sz w:val="24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A97F26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794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2023-03-08T09:12:00Z</dcterms:created>
  <dcterms:modified xsi:type="dcterms:W3CDTF">2023-03-08T09:42:00Z</dcterms:modified>
</cp:coreProperties>
</file>