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F1D" w:rsidRDefault="004D7F1D" w:rsidP="004D7F1D">
      <w:pPr>
        <w:jc w:val="both"/>
        <w:rPr>
          <w:rFonts w:ascii="Garamond" w:hAnsi="Garamond"/>
          <w:sz w:val="22"/>
          <w:szCs w:val="22"/>
        </w:rPr>
      </w:pPr>
    </w:p>
    <w:p w:rsidR="004D7F1D" w:rsidRDefault="004D7F1D" w:rsidP="004D7F1D">
      <w:pPr>
        <w:jc w:val="both"/>
        <w:rPr>
          <w:rFonts w:ascii="Garamond" w:hAnsi="Garamond"/>
          <w:sz w:val="22"/>
          <w:szCs w:val="22"/>
        </w:rPr>
      </w:pPr>
    </w:p>
    <w:p w:rsidR="004D7F1D" w:rsidRDefault="004D7F1D" w:rsidP="004D7F1D">
      <w:pPr>
        <w:jc w:val="both"/>
        <w:rPr>
          <w:rFonts w:ascii="Garamond" w:hAnsi="Garamond"/>
          <w:sz w:val="22"/>
          <w:szCs w:val="22"/>
        </w:rPr>
      </w:pPr>
    </w:p>
    <w:p w:rsidR="004D7F1D" w:rsidRDefault="004D7F1D" w:rsidP="004D7F1D">
      <w:pPr>
        <w:jc w:val="both"/>
        <w:rPr>
          <w:rFonts w:ascii="Monotype Corsiva" w:hAnsi="Monotype Corsiva"/>
          <w:b/>
          <w:sz w:val="24"/>
          <w:szCs w:val="24"/>
        </w:rPr>
      </w:pPr>
    </w:p>
    <w:p w:rsidR="004D7F1D" w:rsidRDefault="00164C1B" w:rsidP="004D7F1D">
      <w:pPr>
        <w:pStyle w:val="Cm"/>
        <w:ind w:left="1416"/>
        <w:jc w:val="left"/>
        <w:rPr>
          <w:rFonts w:ascii="Monotype Corsiva" w:hAnsi="Monotype Corsiva"/>
          <w:b/>
          <w:sz w:val="24"/>
          <w:szCs w:val="24"/>
        </w:rPr>
      </w:pPr>
      <w:r w:rsidRPr="00164C1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401.2pt;margin-top:-43.65pt;width:57.5pt;height:63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" stroked="f">
            <v:textbox>
              <w:txbxContent>
                <w:p w:rsidR="004D7F1D" w:rsidRDefault="004D7F1D" w:rsidP="004D7F1D">
                  <w:r>
                    <w:rPr>
                      <w:noProof/>
                    </w:rPr>
                    <w:drawing>
                      <wp:inline distT="0" distB="0" distL="0" distR="0">
                        <wp:extent cx="532130" cy="715010"/>
                        <wp:effectExtent l="0" t="0" r="1270" b="8890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2130" cy="7150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164C1B">
        <w:rPr>
          <w:noProof/>
        </w:rPr>
        <w:pict>
          <v:shape id="Szövegdoboz 2" o:spid="_x0000_s1027" type="#_x0000_t202" style="position:absolute;left:0;text-align:left;margin-left:-3.8pt;margin-top:-52.65pt;width:50.4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" o:allowincell="f" stroked="f">
            <v:textbox>
              <w:txbxContent>
                <w:p w:rsidR="004D7F1D" w:rsidRDefault="004D7F1D" w:rsidP="004D7F1D">
                  <w:r>
                    <w:rPr>
                      <w:noProof/>
                    </w:rPr>
                    <w:drawing>
                      <wp:inline distT="0" distB="0" distL="0" distR="0">
                        <wp:extent cx="448945" cy="764540"/>
                        <wp:effectExtent l="0" t="0" r="825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8945" cy="764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D7F1D">
        <w:rPr>
          <w:rFonts w:ascii="Monotype Corsiva" w:hAnsi="Monotype Corsiva"/>
          <w:b/>
          <w:sz w:val="24"/>
          <w:szCs w:val="24"/>
        </w:rPr>
        <w:t xml:space="preserve">                  </w:t>
      </w:r>
      <w:r w:rsidR="0003107E">
        <w:rPr>
          <w:rFonts w:ascii="Monotype Corsiva" w:hAnsi="Monotype Corsiva"/>
          <w:b/>
          <w:sz w:val="24"/>
          <w:szCs w:val="24"/>
        </w:rPr>
        <w:t xml:space="preserve">       </w:t>
      </w:r>
      <w:r w:rsidR="004D7F1D">
        <w:rPr>
          <w:rFonts w:ascii="Monotype Corsiva" w:hAnsi="Monotype Corsiva"/>
          <w:b/>
          <w:sz w:val="24"/>
          <w:szCs w:val="24"/>
        </w:rPr>
        <w:t>Csanytelek Község Önkormányzata Jegyzőjétől</w:t>
      </w:r>
    </w:p>
    <w:p w:rsidR="004D7F1D" w:rsidRDefault="004D7F1D" w:rsidP="004D7F1D">
      <w:pPr>
        <w:jc w:val="center"/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sym w:font="Wingdings" w:char="F02A"/>
      </w:r>
      <w:r>
        <w:rPr>
          <w:rFonts w:ascii="Monotype Corsiva" w:hAnsi="Monotype Corsiva"/>
          <w:b/>
          <w:i/>
          <w:sz w:val="24"/>
          <w:szCs w:val="24"/>
        </w:rPr>
        <w:t xml:space="preserve"> 6647. Csanytelek, </w:t>
      </w:r>
      <w:proofErr w:type="spellStart"/>
      <w:r>
        <w:rPr>
          <w:rFonts w:ascii="Monotype Corsiva" w:hAnsi="Monotype Corsiva"/>
          <w:b/>
          <w:i/>
          <w:sz w:val="24"/>
          <w:szCs w:val="24"/>
        </w:rPr>
        <w:t>Volentér</w:t>
      </w:r>
      <w:proofErr w:type="spellEnd"/>
      <w:r>
        <w:rPr>
          <w:rFonts w:ascii="Monotype Corsiva" w:hAnsi="Monotype Corsiva"/>
          <w:b/>
          <w:i/>
          <w:sz w:val="24"/>
          <w:szCs w:val="24"/>
        </w:rPr>
        <w:t xml:space="preserve"> János tér 2.sz.</w:t>
      </w:r>
    </w:p>
    <w:p w:rsidR="004D7F1D" w:rsidRDefault="004D7F1D" w:rsidP="004D7F1D">
      <w:pPr>
        <w:pBdr>
          <w:bottom w:val="single" w:sz="4" w:space="1" w:color="auto"/>
        </w:pBdr>
        <w:jc w:val="center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sz w:val="24"/>
          <w:szCs w:val="24"/>
        </w:rPr>
        <w:sym w:font="Wingdings" w:char="F028"/>
      </w:r>
      <w:r>
        <w:rPr>
          <w:rFonts w:ascii="Monotype Corsiva" w:hAnsi="Monotype Corsiva"/>
          <w:b/>
          <w:sz w:val="24"/>
          <w:szCs w:val="24"/>
        </w:rPr>
        <w:t xml:space="preserve"> 63/578-510; 63/578-512; 63/578-513; fax: 63/578-517; jegyzo@csanytelek.hu</w:t>
      </w:r>
    </w:p>
    <w:p w:rsidR="004D7F1D" w:rsidRPr="006A548A" w:rsidRDefault="004D7F1D" w:rsidP="004D7F1D">
      <w:pPr>
        <w:ind w:right="-288"/>
        <w:rPr>
          <w:rFonts w:ascii="Monotype Corsiva" w:hAnsi="Monotype Corsiva"/>
          <w:b/>
          <w:sz w:val="22"/>
          <w:szCs w:val="22"/>
        </w:rPr>
      </w:pPr>
    </w:p>
    <w:p w:rsidR="004D7F1D" w:rsidRPr="006A548A" w:rsidRDefault="004D7F1D" w:rsidP="004D7F1D">
      <w:pPr>
        <w:ind w:right="-288"/>
        <w:rPr>
          <w:rFonts w:ascii="Garamond" w:hAnsi="Garamond"/>
          <w:sz w:val="22"/>
          <w:szCs w:val="22"/>
        </w:rPr>
      </w:pPr>
      <w:r w:rsidRPr="006A548A">
        <w:rPr>
          <w:rFonts w:ascii="Garamond" w:hAnsi="Garamond"/>
          <w:sz w:val="22"/>
          <w:szCs w:val="22"/>
        </w:rPr>
        <w:t>CS/</w:t>
      </w:r>
      <w:r w:rsidR="004534EB">
        <w:rPr>
          <w:rFonts w:ascii="Garamond" w:hAnsi="Garamond"/>
          <w:sz w:val="22"/>
          <w:szCs w:val="22"/>
        </w:rPr>
        <w:t>1271-</w:t>
      </w:r>
      <w:r w:rsidRPr="006A548A">
        <w:rPr>
          <w:rFonts w:ascii="Garamond" w:hAnsi="Garamond"/>
          <w:sz w:val="22"/>
          <w:szCs w:val="22"/>
        </w:rPr>
        <w:t>2/2022.</w:t>
      </w:r>
    </w:p>
    <w:p w:rsidR="004D7F1D" w:rsidRPr="006A548A" w:rsidRDefault="004D7F1D" w:rsidP="004D7F1D">
      <w:pPr>
        <w:ind w:right="-288"/>
        <w:jc w:val="center"/>
        <w:rPr>
          <w:rFonts w:ascii="Garamond" w:hAnsi="Garamond"/>
          <w:b/>
          <w:sz w:val="22"/>
          <w:szCs w:val="22"/>
        </w:rPr>
      </w:pPr>
      <w:r w:rsidRPr="006A548A">
        <w:rPr>
          <w:rFonts w:ascii="Garamond" w:hAnsi="Garamond"/>
          <w:b/>
          <w:sz w:val="22"/>
          <w:szCs w:val="22"/>
        </w:rPr>
        <w:t>E L Ő Z E T E S    H A T Á S V I Z S G Á L A T</w:t>
      </w:r>
    </w:p>
    <w:p w:rsidR="004D7F1D" w:rsidRPr="006A548A" w:rsidRDefault="004D7F1D" w:rsidP="004D7F1D">
      <w:pPr>
        <w:ind w:right="-288"/>
        <w:jc w:val="center"/>
        <w:rPr>
          <w:rFonts w:ascii="Garamond" w:hAnsi="Garamond"/>
          <w:b/>
          <w:sz w:val="22"/>
          <w:szCs w:val="22"/>
        </w:rPr>
      </w:pPr>
    </w:p>
    <w:p w:rsidR="004D7F1D" w:rsidRPr="006A548A" w:rsidRDefault="004D7F1D" w:rsidP="004D7F1D">
      <w:pPr>
        <w:ind w:right="-288"/>
        <w:jc w:val="center"/>
        <w:rPr>
          <w:rFonts w:ascii="Garamond" w:hAnsi="Garamond"/>
          <w:b/>
          <w:sz w:val="22"/>
          <w:szCs w:val="22"/>
        </w:rPr>
      </w:pPr>
      <w:proofErr w:type="gramStart"/>
      <w:r w:rsidRPr="006A548A">
        <w:rPr>
          <w:rFonts w:ascii="Garamond" w:hAnsi="Garamond"/>
          <w:b/>
          <w:sz w:val="22"/>
          <w:szCs w:val="22"/>
        </w:rPr>
        <w:t>a</w:t>
      </w:r>
      <w:proofErr w:type="gramEnd"/>
      <w:r w:rsidRPr="006A548A">
        <w:rPr>
          <w:rFonts w:ascii="Garamond" w:hAnsi="Garamond"/>
          <w:b/>
          <w:sz w:val="22"/>
          <w:szCs w:val="22"/>
        </w:rPr>
        <w:t xml:space="preserve"> köztisztviselői illetményalapról  szóló </w:t>
      </w:r>
    </w:p>
    <w:p w:rsidR="004D7F1D" w:rsidRPr="006A548A" w:rsidRDefault="004D7F1D" w:rsidP="004D7F1D">
      <w:pPr>
        <w:ind w:right="1"/>
        <w:jc w:val="center"/>
        <w:rPr>
          <w:rFonts w:ascii="Garamond" w:hAnsi="Garamond"/>
          <w:b/>
          <w:sz w:val="22"/>
          <w:szCs w:val="22"/>
        </w:rPr>
      </w:pPr>
      <w:r w:rsidRPr="006A548A">
        <w:rPr>
          <w:rFonts w:ascii="Garamond" w:hAnsi="Garamond"/>
          <w:b/>
          <w:sz w:val="22"/>
          <w:szCs w:val="22"/>
        </w:rPr>
        <w:t xml:space="preserve"> …/2022. (</w:t>
      </w:r>
      <w:proofErr w:type="gramStart"/>
      <w:r w:rsidRPr="006A548A">
        <w:rPr>
          <w:rFonts w:ascii="Garamond" w:hAnsi="Garamond"/>
          <w:b/>
          <w:sz w:val="22"/>
          <w:szCs w:val="22"/>
        </w:rPr>
        <w:t>X. .</w:t>
      </w:r>
      <w:proofErr w:type="gramEnd"/>
      <w:r w:rsidRPr="006A548A">
        <w:rPr>
          <w:rFonts w:ascii="Garamond" w:hAnsi="Garamond"/>
          <w:b/>
          <w:sz w:val="22"/>
          <w:szCs w:val="22"/>
        </w:rPr>
        <w:t>. .) önkormányzati rendelet-tervezethez</w:t>
      </w:r>
    </w:p>
    <w:p w:rsidR="004D7F1D" w:rsidRPr="006A548A" w:rsidRDefault="004D7F1D" w:rsidP="004D7F1D">
      <w:pPr>
        <w:ind w:right="1"/>
        <w:jc w:val="both"/>
        <w:rPr>
          <w:rFonts w:ascii="Garamond" w:hAnsi="Garamond"/>
          <w:sz w:val="22"/>
          <w:szCs w:val="22"/>
        </w:rPr>
      </w:pPr>
    </w:p>
    <w:p w:rsidR="004D7F1D" w:rsidRPr="006A548A" w:rsidRDefault="004D7F1D" w:rsidP="004D7F1D">
      <w:pPr>
        <w:ind w:right="1"/>
        <w:jc w:val="both"/>
        <w:rPr>
          <w:rFonts w:ascii="Garamond" w:hAnsi="Garamond"/>
          <w:i/>
          <w:sz w:val="22"/>
          <w:szCs w:val="22"/>
        </w:rPr>
      </w:pPr>
      <w:r w:rsidRPr="006A548A">
        <w:rPr>
          <w:rFonts w:ascii="Garamond" w:hAnsi="Garamond"/>
          <w:sz w:val="22"/>
          <w:szCs w:val="22"/>
        </w:rPr>
        <w:t>A csatolt jogszabály tervezet előkészítőjeként a jogalkotásról szóló 2010. évi CXXX. törvény 17. §</w:t>
      </w:r>
      <w:proofErr w:type="spellStart"/>
      <w:r w:rsidRPr="006A548A">
        <w:rPr>
          <w:rFonts w:ascii="Garamond" w:hAnsi="Garamond"/>
          <w:sz w:val="22"/>
          <w:szCs w:val="22"/>
        </w:rPr>
        <w:t>-ában</w:t>
      </w:r>
      <w:proofErr w:type="spellEnd"/>
      <w:r w:rsidRPr="006A548A">
        <w:rPr>
          <w:rFonts w:ascii="Garamond" w:hAnsi="Garamond"/>
          <w:sz w:val="22"/>
          <w:szCs w:val="22"/>
        </w:rPr>
        <w:t xml:space="preserve"> írt kötelezettségemnek eleget téve az alábbiakban terjesztem be </w:t>
      </w:r>
      <w:r w:rsidRPr="006A548A">
        <w:rPr>
          <w:rFonts w:ascii="Garamond" w:hAnsi="Garamond"/>
          <w:i/>
          <w:sz w:val="22"/>
          <w:szCs w:val="22"/>
        </w:rPr>
        <w:t xml:space="preserve">az önkormányzati rendelet-tervezet bevezetésével járó várható hatások következményeiről alkotott véleményemet és ajánlom a </w:t>
      </w:r>
      <w:r w:rsidRPr="006A548A">
        <w:rPr>
          <w:rFonts w:ascii="Garamond" w:hAnsi="Garamond"/>
          <w:sz w:val="22"/>
          <w:szCs w:val="22"/>
        </w:rPr>
        <w:t>jogalkotók</w:t>
      </w:r>
      <w:r w:rsidRPr="006A548A">
        <w:rPr>
          <w:rFonts w:ascii="Garamond" w:hAnsi="Garamond"/>
          <w:i/>
          <w:sz w:val="22"/>
          <w:szCs w:val="22"/>
        </w:rPr>
        <w:t xml:space="preserve"> figyelmébe.</w:t>
      </w:r>
    </w:p>
    <w:p w:rsidR="004D7F1D" w:rsidRPr="006A548A" w:rsidRDefault="004D7F1D" w:rsidP="004D7F1D">
      <w:pPr>
        <w:ind w:right="1"/>
        <w:jc w:val="both"/>
        <w:rPr>
          <w:rFonts w:ascii="Garamond" w:hAnsi="Garamond"/>
          <w:i/>
          <w:sz w:val="22"/>
          <w:szCs w:val="22"/>
        </w:rPr>
      </w:pPr>
    </w:p>
    <w:p w:rsidR="004D7F1D" w:rsidRPr="006A548A" w:rsidRDefault="004D7F1D" w:rsidP="004D7F1D">
      <w:pPr>
        <w:ind w:right="1"/>
        <w:jc w:val="both"/>
        <w:rPr>
          <w:rFonts w:ascii="Garamond" w:hAnsi="Garamond"/>
          <w:b/>
          <w:sz w:val="22"/>
          <w:szCs w:val="22"/>
          <w:u w:val="single"/>
        </w:rPr>
      </w:pPr>
      <w:r w:rsidRPr="006A548A">
        <w:rPr>
          <w:rFonts w:ascii="Garamond" w:hAnsi="Garamond"/>
          <w:b/>
          <w:sz w:val="22"/>
          <w:szCs w:val="22"/>
          <w:u w:val="single"/>
        </w:rPr>
        <w:t>A jogszabály végrehajtásában az érintettekre gyakorolt (vélelmezett) hatások:</w:t>
      </w:r>
    </w:p>
    <w:p w:rsidR="004D7F1D" w:rsidRPr="006A548A" w:rsidRDefault="004D7F1D" w:rsidP="004D7F1D">
      <w:pPr>
        <w:ind w:left="2160" w:right="1" w:hanging="2160"/>
        <w:jc w:val="both"/>
        <w:rPr>
          <w:rFonts w:ascii="Garamond" w:hAnsi="Garamond"/>
          <w:i/>
          <w:sz w:val="22"/>
          <w:szCs w:val="22"/>
        </w:rPr>
      </w:pPr>
      <w:r w:rsidRPr="006A548A">
        <w:rPr>
          <w:rFonts w:ascii="Garamond" w:hAnsi="Garamond"/>
          <w:b/>
          <w:i/>
          <w:sz w:val="22"/>
          <w:szCs w:val="22"/>
        </w:rPr>
        <w:t>Társadalmi:</w:t>
      </w:r>
      <w:r w:rsidRPr="006A548A">
        <w:rPr>
          <w:rFonts w:ascii="Garamond" w:hAnsi="Garamond"/>
          <w:b/>
          <w:i/>
          <w:sz w:val="22"/>
          <w:szCs w:val="22"/>
        </w:rPr>
        <w:tab/>
      </w:r>
      <w:r w:rsidRPr="006A548A">
        <w:rPr>
          <w:rFonts w:ascii="Garamond" w:hAnsi="Garamond"/>
          <w:sz w:val="22"/>
          <w:szCs w:val="22"/>
        </w:rPr>
        <w:t>minden önkormányzati rendeletnek a tényleges viszonyokat kell tükröznie, amelynek alkalmasnak kell lennie a központi hatályos vonatkozó jogszabályban foglalt jogok és kötelezettségek teljesítésére. A Képviselő-testület hivatalában foglalkoztatott köztisztviselők élet- és munkakörülménye, havi illetménye határozza meg a mindennapok élhetőségét, melyben 15 év óta kedvező változás nem történt. A hivatal köztisztviselői</w:t>
      </w:r>
      <w:proofErr w:type="gramStart"/>
      <w:r w:rsidRPr="006A548A">
        <w:rPr>
          <w:rFonts w:ascii="Garamond" w:hAnsi="Garamond"/>
          <w:sz w:val="22"/>
          <w:szCs w:val="22"/>
        </w:rPr>
        <w:t>,  a</w:t>
      </w:r>
      <w:proofErr w:type="gramEnd"/>
      <w:r w:rsidRPr="006A548A">
        <w:rPr>
          <w:rFonts w:ascii="Garamond" w:hAnsi="Garamond"/>
          <w:sz w:val="22"/>
          <w:szCs w:val="22"/>
        </w:rPr>
        <w:t xml:space="preserve"> nemzetgazdaság többi ágazatához képest anyagiakban mérhető hátránya miatt, a pálya elhagyás gondolatával foglalkoznak, ami nagyban kihat a napi munkavégzésre. A központi jogszabályok folyamatos változása olyan magas szakmai hozzáértést követel meg, melynek motiváltság miatti hiánya az egész hivatal működőképességét kérdőjelezheti meg, amely az ügyintézés minőségét </w:t>
      </w:r>
      <w:proofErr w:type="gramStart"/>
      <w:r w:rsidRPr="006A548A">
        <w:rPr>
          <w:rFonts w:ascii="Garamond" w:hAnsi="Garamond"/>
          <w:sz w:val="22"/>
          <w:szCs w:val="22"/>
        </w:rPr>
        <w:t>jelentőségen  befolyásolhatja</w:t>
      </w:r>
      <w:proofErr w:type="gramEnd"/>
      <w:r w:rsidRPr="006A548A">
        <w:rPr>
          <w:rFonts w:ascii="Garamond" w:hAnsi="Garamond"/>
          <w:sz w:val="22"/>
          <w:szCs w:val="22"/>
        </w:rPr>
        <w:t xml:space="preserve">, ami úgy közvetve, mint </w:t>
      </w:r>
      <w:proofErr w:type="gramStart"/>
      <w:r w:rsidRPr="006A548A">
        <w:rPr>
          <w:rFonts w:ascii="Garamond" w:hAnsi="Garamond"/>
          <w:sz w:val="22"/>
          <w:szCs w:val="22"/>
        </w:rPr>
        <w:t>közvetlenül</w:t>
      </w:r>
      <w:proofErr w:type="gramEnd"/>
      <w:r w:rsidRPr="006A548A">
        <w:rPr>
          <w:rFonts w:ascii="Garamond" w:hAnsi="Garamond"/>
          <w:sz w:val="22"/>
          <w:szCs w:val="22"/>
        </w:rPr>
        <w:t xml:space="preserve"> érinti a település közösségét (melynek tagja a hivatali köztisztviselők többsége is), a köztisztviselők életkörülményének, azon belül az illetményalap összegének alakulása. A hivatalon belül egyetlen köztisztviselőnél sem jelentett a havi illetménye összegében emelkedést az illetményalap eddigi 38.650.- Ft-ról 80.000.- Ft-ra való növelése, mert a garantált bérminimum központi </w:t>
      </w:r>
      <w:proofErr w:type="gramStart"/>
      <w:r w:rsidRPr="006A548A">
        <w:rPr>
          <w:rFonts w:ascii="Garamond" w:hAnsi="Garamond"/>
          <w:sz w:val="22"/>
          <w:szCs w:val="22"/>
        </w:rPr>
        <w:t>változása  a</w:t>
      </w:r>
      <w:proofErr w:type="gramEnd"/>
      <w:r w:rsidRPr="006A548A">
        <w:rPr>
          <w:rFonts w:ascii="Garamond" w:hAnsi="Garamond"/>
          <w:sz w:val="22"/>
          <w:szCs w:val="22"/>
        </w:rPr>
        <w:t xml:space="preserve"> hatályos köztisztviselői illetménytábla szerinti besorolást nem befolyásolja. </w:t>
      </w:r>
    </w:p>
    <w:p w:rsidR="004D7F1D" w:rsidRPr="006A548A" w:rsidRDefault="004D7F1D" w:rsidP="004D7F1D">
      <w:pPr>
        <w:ind w:left="2160" w:right="1" w:hanging="2160"/>
        <w:jc w:val="both"/>
        <w:rPr>
          <w:rFonts w:ascii="Garamond" w:hAnsi="Garamond"/>
          <w:sz w:val="22"/>
          <w:szCs w:val="22"/>
        </w:rPr>
      </w:pPr>
      <w:r w:rsidRPr="006A548A">
        <w:rPr>
          <w:rFonts w:ascii="Garamond" w:hAnsi="Garamond"/>
          <w:b/>
          <w:i/>
          <w:sz w:val="22"/>
          <w:szCs w:val="22"/>
        </w:rPr>
        <w:t>Gazdasági:</w:t>
      </w:r>
      <w:r w:rsidRPr="006A548A">
        <w:rPr>
          <w:rFonts w:ascii="Garamond" w:hAnsi="Garamond"/>
          <w:b/>
          <w:i/>
          <w:sz w:val="22"/>
          <w:szCs w:val="22"/>
        </w:rPr>
        <w:tab/>
      </w:r>
      <w:r w:rsidRPr="006A548A">
        <w:rPr>
          <w:rFonts w:ascii="Garamond" w:hAnsi="Garamond"/>
          <w:sz w:val="22"/>
          <w:szCs w:val="22"/>
        </w:rPr>
        <w:t>a köztisztviselők családja megélhetését alig befolyásolja az illetményalapból számolt havi illetmény összege változása, így a helyi gazdaságra nézve nincs kihatása.</w:t>
      </w:r>
    </w:p>
    <w:p w:rsidR="004D7F1D" w:rsidRPr="006A548A" w:rsidRDefault="004D7F1D" w:rsidP="004D7F1D">
      <w:pPr>
        <w:ind w:left="2160" w:right="1" w:hanging="2160"/>
        <w:jc w:val="both"/>
        <w:rPr>
          <w:rFonts w:ascii="Garamond" w:hAnsi="Garamond"/>
          <w:sz w:val="22"/>
          <w:szCs w:val="22"/>
        </w:rPr>
      </w:pPr>
      <w:r w:rsidRPr="006A548A">
        <w:rPr>
          <w:rFonts w:ascii="Garamond" w:hAnsi="Garamond"/>
          <w:b/>
          <w:i/>
          <w:sz w:val="22"/>
          <w:szCs w:val="22"/>
        </w:rPr>
        <w:t>Költségvetési:</w:t>
      </w:r>
      <w:r w:rsidRPr="006A548A">
        <w:rPr>
          <w:rFonts w:ascii="Garamond" w:hAnsi="Garamond"/>
          <w:b/>
          <w:i/>
          <w:sz w:val="22"/>
          <w:szCs w:val="22"/>
        </w:rPr>
        <w:tab/>
      </w:r>
      <w:r w:rsidRPr="006A548A">
        <w:rPr>
          <w:rFonts w:ascii="Garamond" w:hAnsi="Garamond"/>
          <w:sz w:val="22"/>
          <w:szCs w:val="22"/>
        </w:rPr>
        <w:t xml:space="preserve">az önkormányzat és az önkormányzati hivatal 2023. évi költségvetésére </w:t>
      </w:r>
      <w:proofErr w:type="gramStart"/>
      <w:r w:rsidRPr="006A548A">
        <w:rPr>
          <w:rFonts w:ascii="Garamond" w:hAnsi="Garamond"/>
          <w:sz w:val="22"/>
          <w:szCs w:val="22"/>
        </w:rPr>
        <w:t>a  2022.</w:t>
      </w:r>
      <w:proofErr w:type="gramEnd"/>
      <w:r w:rsidRPr="006A548A">
        <w:rPr>
          <w:rFonts w:ascii="Garamond" w:hAnsi="Garamond"/>
          <w:sz w:val="22"/>
          <w:szCs w:val="22"/>
        </w:rPr>
        <w:t xml:space="preserve"> évi költségvetéshez képest többlet kiadást nem jelent  a tárgyi rendelet szerinti illetményalappal számolt illetmények összege, mert az illetményalap összege nem változott.</w:t>
      </w:r>
    </w:p>
    <w:p w:rsidR="004D7F1D" w:rsidRPr="006A548A" w:rsidRDefault="004D7F1D" w:rsidP="004D7F1D">
      <w:pPr>
        <w:ind w:right="1"/>
        <w:jc w:val="both"/>
        <w:rPr>
          <w:rFonts w:ascii="Garamond" w:hAnsi="Garamond"/>
          <w:sz w:val="22"/>
          <w:szCs w:val="22"/>
        </w:rPr>
      </w:pPr>
      <w:r w:rsidRPr="006A548A">
        <w:rPr>
          <w:rFonts w:ascii="Garamond" w:hAnsi="Garamond"/>
          <w:b/>
          <w:i/>
          <w:sz w:val="22"/>
          <w:szCs w:val="22"/>
        </w:rPr>
        <w:t>Környezeti:</w:t>
      </w:r>
      <w:r w:rsidRPr="006A548A">
        <w:rPr>
          <w:rFonts w:ascii="Garamond" w:hAnsi="Garamond"/>
          <w:sz w:val="22"/>
          <w:szCs w:val="22"/>
        </w:rPr>
        <w:tab/>
        <w:t xml:space="preserve">            nincs hatással. </w:t>
      </w:r>
    </w:p>
    <w:p w:rsidR="004D7F1D" w:rsidRPr="006A548A" w:rsidRDefault="004D7F1D" w:rsidP="004D7F1D">
      <w:pPr>
        <w:ind w:left="2127" w:right="1" w:hanging="2127"/>
        <w:jc w:val="both"/>
        <w:rPr>
          <w:rFonts w:ascii="Garamond" w:hAnsi="Garamond"/>
          <w:sz w:val="22"/>
          <w:szCs w:val="22"/>
        </w:rPr>
      </w:pPr>
      <w:r w:rsidRPr="006A548A">
        <w:rPr>
          <w:rFonts w:ascii="Garamond" w:hAnsi="Garamond"/>
          <w:b/>
          <w:i/>
          <w:sz w:val="22"/>
          <w:szCs w:val="22"/>
        </w:rPr>
        <w:t>Egészségi:</w:t>
      </w:r>
      <w:r w:rsidRPr="006A548A">
        <w:rPr>
          <w:rFonts w:ascii="Garamond" w:hAnsi="Garamond"/>
          <w:b/>
          <w:i/>
          <w:sz w:val="22"/>
          <w:szCs w:val="22"/>
        </w:rPr>
        <w:tab/>
      </w:r>
      <w:r w:rsidRPr="006A548A">
        <w:rPr>
          <w:rFonts w:ascii="Garamond" w:hAnsi="Garamond"/>
          <w:sz w:val="22"/>
          <w:szCs w:val="22"/>
        </w:rPr>
        <w:t>nincs hatással.</w:t>
      </w:r>
    </w:p>
    <w:p w:rsidR="004D7F1D" w:rsidRPr="006A548A" w:rsidRDefault="004D7F1D" w:rsidP="004D7F1D">
      <w:pPr>
        <w:ind w:left="2160" w:right="1" w:hanging="2160"/>
        <w:jc w:val="both"/>
        <w:rPr>
          <w:rFonts w:ascii="Garamond" w:hAnsi="Garamond"/>
          <w:sz w:val="22"/>
          <w:szCs w:val="22"/>
        </w:rPr>
      </w:pPr>
      <w:r w:rsidRPr="006A548A">
        <w:rPr>
          <w:rFonts w:ascii="Garamond" w:hAnsi="Garamond"/>
          <w:b/>
          <w:i/>
          <w:sz w:val="22"/>
          <w:szCs w:val="22"/>
        </w:rPr>
        <w:t>Adminisztratív</w:t>
      </w:r>
      <w:proofErr w:type="gramStart"/>
      <w:r w:rsidRPr="006A548A">
        <w:rPr>
          <w:rFonts w:ascii="Garamond" w:hAnsi="Garamond"/>
          <w:b/>
          <w:i/>
          <w:sz w:val="22"/>
          <w:szCs w:val="22"/>
        </w:rPr>
        <w:t xml:space="preserve">:    </w:t>
      </w:r>
      <w:r w:rsidRPr="006A548A">
        <w:rPr>
          <w:rFonts w:ascii="Garamond" w:hAnsi="Garamond"/>
          <w:sz w:val="22"/>
          <w:szCs w:val="22"/>
        </w:rPr>
        <w:t>többletfeladatot</w:t>
      </w:r>
      <w:proofErr w:type="gramEnd"/>
      <w:r w:rsidRPr="006A548A">
        <w:rPr>
          <w:rFonts w:ascii="Garamond" w:hAnsi="Garamond"/>
          <w:sz w:val="22"/>
          <w:szCs w:val="22"/>
        </w:rPr>
        <w:t xml:space="preserve"> </w:t>
      </w:r>
      <w:r w:rsidRPr="006A548A">
        <w:rPr>
          <w:rFonts w:ascii="Garamond" w:hAnsi="Garamond"/>
          <w:b/>
          <w:i/>
          <w:sz w:val="22"/>
          <w:szCs w:val="22"/>
        </w:rPr>
        <w:t xml:space="preserve"> </w:t>
      </w:r>
      <w:r w:rsidRPr="006A548A">
        <w:rPr>
          <w:rFonts w:ascii="Garamond" w:hAnsi="Garamond"/>
          <w:sz w:val="22"/>
          <w:szCs w:val="22"/>
        </w:rPr>
        <w:t xml:space="preserve">a bérnyilvántartásban, a személyi anyagokban, a munkaügyi nyilvántartásban, konkrétan a KIRA rendszerben az illetményalap emelésével járó megjelenítése  okoz,  változás ugyan  nem áll be, de jogszabályi kötelezettségnek való megfelelés miatt van kihatása.  </w:t>
      </w:r>
    </w:p>
    <w:p w:rsidR="004E5590" w:rsidRPr="006A548A" w:rsidRDefault="004D7F1D" w:rsidP="004D7F1D">
      <w:pPr>
        <w:ind w:left="2160" w:right="1" w:hanging="2160"/>
        <w:jc w:val="both"/>
        <w:rPr>
          <w:rFonts w:ascii="Garamond" w:hAnsi="Garamond"/>
          <w:sz w:val="22"/>
          <w:szCs w:val="22"/>
        </w:rPr>
      </w:pPr>
      <w:r w:rsidRPr="006A548A">
        <w:rPr>
          <w:rFonts w:ascii="Garamond" w:hAnsi="Garamond"/>
          <w:b/>
          <w:i/>
          <w:sz w:val="22"/>
          <w:szCs w:val="22"/>
        </w:rPr>
        <w:t>A jogszabály megalkotásának szükségessége:</w:t>
      </w:r>
      <w:r w:rsidRPr="006A548A">
        <w:rPr>
          <w:rFonts w:ascii="Garamond" w:hAnsi="Garamond"/>
          <w:sz w:val="22"/>
          <w:szCs w:val="22"/>
        </w:rPr>
        <w:t xml:space="preserve"> az Alaptörvény 32. cikke (2) </w:t>
      </w:r>
      <w:proofErr w:type="gramStart"/>
      <w:r w:rsidRPr="006A548A">
        <w:rPr>
          <w:rFonts w:ascii="Garamond" w:hAnsi="Garamond"/>
          <w:sz w:val="22"/>
          <w:szCs w:val="22"/>
        </w:rPr>
        <w:t xml:space="preserve">bekezdése </w:t>
      </w:r>
      <w:r w:rsidRPr="006A548A">
        <w:rPr>
          <w:rFonts w:ascii="Garamond" w:hAnsi="Garamond"/>
          <w:i/>
          <w:sz w:val="22"/>
          <w:szCs w:val="22"/>
        </w:rPr>
        <w:t xml:space="preserve"> </w:t>
      </w:r>
      <w:r w:rsidRPr="006A548A">
        <w:rPr>
          <w:rFonts w:ascii="Garamond" w:hAnsi="Garamond"/>
          <w:sz w:val="22"/>
          <w:szCs w:val="22"/>
        </w:rPr>
        <w:t>biztosítja</w:t>
      </w:r>
      <w:proofErr w:type="gramEnd"/>
      <w:r w:rsidRPr="006A548A">
        <w:rPr>
          <w:rFonts w:ascii="Garamond" w:hAnsi="Garamond"/>
          <w:sz w:val="22"/>
          <w:szCs w:val="22"/>
        </w:rPr>
        <w:t xml:space="preserve"> az önkormányzatok számára az </w:t>
      </w:r>
      <w:r w:rsidRPr="006A548A">
        <w:rPr>
          <w:rFonts w:ascii="Garamond" w:hAnsi="Garamond"/>
          <w:i/>
          <w:sz w:val="22"/>
          <w:szCs w:val="22"/>
        </w:rPr>
        <w:t xml:space="preserve">eredeti jogalkotási hatáskörben való eljárást,  </w:t>
      </w:r>
      <w:r w:rsidRPr="006A548A">
        <w:rPr>
          <w:rFonts w:ascii="Garamond" w:hAnsi="Garamond"/>
          <w:sz w:val="22"/>
          <w:szCs w:val="22"/>
        </w:rPr>
        <w:t xml:space="preserve">az (1) bekezdés a) pontja szerinti feladatkörében az </w:t>
      </w:r>
      <w:r w:rsidRPr="006A548A">
        <w:rPr>
          <w:rFonts w:ascii="Garamond" w:hAnsi="Garamond"/>
          <w:i/>
          <w:sz w:val="22"/>
          <w:szCs w:val="22"/>
        </w:rPr>
        <w:t xml:space="preserve">önkormányzati rendelet alkotását. </w:t>
      </w:r>
      <w:r w:rsidRPr="006A548A">
        <w:rPr>
          <w:rFonts w:ascii="Garamond" w:hAnsi="Garamond"/>
          <w:sz w:val="22"/>
          <w:szCs w:val="22"/>
        </w:rPr>
        <w:t xml:space="preserve">A tárgyi </w:t>
      </w:r>
    </w:p>
    <w:p w:rsidR="004E5590" w:rsidRPr="006A548A" w:rsidRDefault="004E5590" w:rsidP="004D7F1D">
      <w:pPr>
        <w:ind w:left="2160" w:right="1" w:hanging="2160"/>
        <w:jc w:val="both"/>
        <w:rPr>
          <w:rFonts w:ascii="Garamond" w:hAnsi="Garamond"/>
          <w:sz w:val="22"/>
          <w:szCs w:val="22"/>
        </w:rPr>
      </w:pPr>
    </w:p>
    <w:p w:rsidR="004D7F1D" w:rsidRPr="006A548A" w:rsidRDefault="002A2330" w:rsidP="004E5590">
      <w:pPr>
        <w:ind w:left="2160" w:right="1" w:hanging="36"/>
        <w:jc w:val="both"/>
        <w:rPr>
          <w:rFonts w:ascii="Garamond" w:hAnsi="Garamond"/>
          <w:sz w:val="22"/>
          <w:szCs w:val="22"/>
        </w:rPr>
      </w:pPr>
      <w:r w:rsidRPr="006A548A">
        <w:rPr>
          <w:rFonts w:ascii="Garamond" w:hAnsi="Garamond"/>
          <w:sz w:val="22"/>
          <w:szCs w:val="22"/>
        </w:rPr>
        <w:t xml:space="preserve"> </w:t>
      </w:r>
      <w:proofErr w:type="gramStart"/>
      <w:r w:rsidR="004D7F1D" w:rsidRPr="006A548A">
        <w:rPr>
          <w:rFonts w:ascii="Garamond" w:hAnsi="Garamond"/>
          <w:sz w:val="22"/>
          <w:szCs w:val="22"/>
        </w:rPr>
        <w:t>rendeletalkotás</w:t>
      </w:r>
      <w:proofErr w:type="gramEnd"/>
      <w:r w:rsidR="004D7F1D" w:rsidRPr="006A548A">
        <w:rPr>
          <w:rFonts w:ascii="Garamond" w:hAnsi="Garamond"/>
          <w:sz w:val="22"/>
          <w:szCs w:val="22"/>
        </w:rPr>
        <w:t xml:space="preserve"> szakmai, jogi alapját</w:t>
      </w:r>
      <w:r w:rsidR="004D7F1D" w:rsidRPr="006A548A">
        <w:rPr>
          <w:rFonts w:ascii="Garamond" w:hAnsi="Garamond"/>
          <w:i/>
          <w:sz w:val="22"/>
          <w:szCs w:val="22"/>
        </w:rPr>
        <w:t xml:space="preserve"> </w:t>
      </w:r>
      <w:r w:rsidR="004D7F1D" w:rsidRPr="006A548A">
        <w:rPr>
          <w:rFonts w:ascii="Garamond" w:hAnsi="Garamond"/>
          <w:sz w:val="22"/>
          <w:szCs w:val="22"/>
        </w:rPr>
        <w:t>a Magyarország 202</w:t>
      </w:r>
      <w:r w:rsidR="004E5590" w:rsidRPr="006A548A">
        <w:rPr>
          <w:rFonts w:ascii="Garamond" w:hAnsi="Garamond"/>
          <w:sz w:val="22"/>
          <w:szCs w:val="22"/>
        </w:rPr>
        <w:t>3</w:t>
      </w:r>
      <w:r w:rsidR="004D7F1D" w:rsidRPr="006A548A">
        <w:rPr>
          <w:rFonts w:ascii="Garamond" w:hAnsi="Garamond"/>
          <w:sz w:val="22"/>
          <w:szCs w:val="22"/>
        </w:rPr>
        <w:t>. évi központi költségvetéséről szóló 202</w:t>
      </w:r>
      <w:r w:rsidR="004E5590" w:rsidRPr="006A548A">
        <w:rPr>
          <w:rFonts w:ascii="Garamond" w:hAnsi="Garamond"/>
          <w:sz w:val="22"/>
          <w:szCs w:val="22"/>
        </w:rPr>
        <w:t>2</w:t>
      </w:r>
      <w:r w:rsidR="004D7F1D" w:rsidRPr="006A548A">
        <w:rPr>
          <w:rFonts w:ascii="Garamond" w:hAnsi="Garamond"/>
          <w:sz w:val="22"/>
          <w:szCs w:val="22"/>
        </w:rPr>
        <w:t xml:space="preserve">. évi  </w:t>
      </w:r>
      <w:r w:rsidR="002C70D9" w:rsidRPr="006A548A">
        <w:rPr>
          <w:rFonts w:ascii="Garamond" w:hAnsi="Garamond"/>
          <w:sz w:val="22"/>
          <w:szCs w:val="22"/>
        </w:rPr>
        <w:t>XXV.</w:t>
      </w:r>
      <w:r w:rsidR="004D7F1D" w:rsidRPr="006A548A">
        <w:rPr>
          <w:rFonts w:ascii="Garamond" w:hAnsi="Garamond"/>
          <w:sz w:val="22"/>
          <w:szCs w:val="22"/>
        </w:rPr>
        <w:t xml:space="preserve"> törvény 6</w:t>
      </w:r>
      <w:r w:rsidR="002C70D9" w:rsidRPr="006A548A">
        <w:rPr>
          <w:rFonts w:ascii="Garamond" w:hAnsi="Garamond"/>
          <w:sz w:val="22"/>
          <w:szCs w:val="22"/>
        </w:rPr>
        <w:t>5.</w:t>
      </w:r>
      <w:r w:rsidR="004D7F1D" w:rsidRPr="006A548A">
        <w:rPr>
          <w:rFonts w:ascii="Garamond" w:hAnsi="Garamond"/>
          <w:sz w:val="22"/>
          <w:szCs w:val="22"/>
        </w:rPr>
        <w:t xml:space="preserve"> § (6) bekezdése teremti meg.</w:t>
      </w:r>
    </w:p>
    <w:p w:rsidR="004D7F1D" w:rsidRPr="006A548A" w:rsidRDefault="004D7F1D" w:rsidP="004D7F1D">
      <w:pPr>
        <w:ind w:left="2160" w:right="1" w:hanging="2160"/>
        <w:jc w:val="both"/>
        <w:rPr>
          <w:rFonts w:ascii="Garamond" w:hAnsi="Garamond"/>
          <w:sz w:val="22"/>
          <w:szCs w:val="22"/>
        </w:rPr>
      </w:pPr>
      <w:r w:rsidRPr="006A548A">
        <w:rPr>
          <w:rFonts w:ascii="Garamond" w:hAnsi="Garamond"/>
          <w:b/>
          <w:i/>
          <w:sz w:val="22"/>
          <w:szCs w:val="22"/>
        </w:rPr>
        <w:t xml:space="preserve">A jogalkotás elmaradásának várható következményei: </w:t>
      </w:r>
      <w:r w:rsidRPr="006A548A">
        <w:rPr>
          <w:rFonts w:ascii="Garamond" w:hAnsi="Garamond"/>
          <w:sz w:val="22"/>
          <w:szCs w:val="22"/>
        </w:rPr>
        <w:t xml:space="preserve">amennyiben a tárgyi normát nem alkotja meg a képviselő-testület, úgy a központi illetményalap összegére csökken a megemelt </w:t>
      </w:r>
      <w:r w:rsidRPr="006A548A">
        <w:rPr>
          <w:rFonts w:ascii="Garamond" w:hAnsi="Garamond"/>
          <w:sz w:val="22"/>
          <w:szCs w:val="22"/>
        </w:rPr>
        <w:lastRenderedPageBreak/>
        <w:t>illetményalap, amely a garantált bérminimum összegét sem éri el, ami visszalépést jelent 2021. évhez viszonyítva.</w:t>
      </w:r>
    </w:p>
    <w:p w:rsidR="004D7F1D" w:rsidRPr="006A548A" w:rsidRDefault="004D7F1D" w:rsidP="004D7F1D">
      <w:pPr>
        <w:ind w:left="2160" w:right="1" w:hanging="2160"/>
        <w:jc w:val="both"/>
        <w:rPr>
          <w:rFonts w:ascii="Garamond" w:hAnsi="Garamond"/>
          <w:sz w:val="22"/>
          <w:szCs w:val="22"/>
        </w:rPr>
      </w:pPr>
      <w:r w:rsidRPr="006A548A">
        <w:rPr>
          <w:rFonts w:ascii="Garamond" w:hAnsi="Garamond"/>
          <w:b/>
          <w:i/>
          <w:sz w:val="22"/>
          <w:szCs w:val="22"/>
        </w:rPr>
        <w:t>A jogszabály alkalmazásához szükséges személyi, szervezeti, tárgyi és pénzügyi feltételek</w:t>
      </w:r>
      <w:proofErr w:type="gramStart"/>
      <w:r w:rsidRPr="006A548A">
        <w:rPr>
          <w:rFonts w:ascii="Garamond" w:hAnsi="Garamond"/>
          <w:b/>
          <w:i/>
          <w:sz w:val="22"/>
          <w:szCs w:val="22"/>
        </w:rPr>
        <w:t xml:space="preserve">: </w:t>
      </w:r>
      <w:r w:rsidRPr="006A548A">
        <w:rPr>
          <w:rFonts w:ascii="Garamond" w:hAnsi="Garamond"/>
          <w:sz w:val="22"/>
          <w:szCs w:val="22"/>
        </w:rPr>
        <w:t xml:space="preserve"> a</w:t>
      </w:r>
      <w:proofErr w:type="gramEnd"/>
      <w:r w:rsidRPr="006A548A">
        <w:rPr>
          <w:rFonts w:ascii="Garamond" w:hAnsi="Garamond"/>
          <w:sz w:val="22"/>
          <w:szCs w:val="22"/>
        </w:rPr>
        <w:t xml:space="preserve"> személyi, a szervezeti, a tárgyi és pénzügyi feltételek a fent írtak szerint rendelkezésre állnak.</w:t>
      </w:r>
    </w:p>
    <w:p w:rsidR="004D7F1D" w:rsidRPr="006A548A" w:rsidRDefault="004D7F1D" w:rsidP="004D7F1D">
      <w:pPr>
        <w:ind w:right="1"/>
        <w:jc w:val="both"/>
        <w:rPr>
          <w:rFonts w:ascii="Garamond" w:hAnsi="Garamond"/>
          <w:sz w:val="22"/>
          <w:szCs w:val="22"/>
        </w:rPr>
      </w:pPr>
    </w:p>
    <w:p w:rsidR="004D7F1D" w:rsidRPr="006A548A" w:rsidRDefault="004D7F1D" w:rsidP="004D7F1D">
      <w:pPr>
        <w:ind w:right="1"/>
        <w:jc w:val="both"/>
        <w:rPr>
          <w:rFonts w:ascii="Garamond" w:hAnsi="Garamond"/>
          <w:sz w:val="22"/>
          <w:szCs w:val="22"/>
        </w:rPr>
      </w:pPr>
    </w:p>
    <w:p w:rsidR="004D7F1D" w:rsidRPr="006A548A" w:rsidRDefault="004D7F1D" w:rsidP="004D7F1D">
      <w:pPr>
        <w:ind w:left="2160" w:right="1" w:hanging="2160"/>
        <w:jc w:val="both"/>
        <w:rPr>
          <w:rFonts w:ascii="Garamond" w:hAnsi="Garamond"/>
          <w:sz w:val="22"/>
          <w:szCs w:val="22"/>
        </w:rPr>
      </w:pPr>
      <w:r w:rsidRPr="006A548A">
        <w:rPr>
          <w:rFonts w:ascii="Garamond" w:hAnsi="Garamond"/>
          <w:sz w:val="22"/>
          <w:szCs w:val="22"/>
        </w:rPr>
        <w:t xml:space="preserve">C s a n y t e l e k, 2022. </w:t>
      </w:r>
      <w:proofErr w:type="gramStart"/>
      <w:r w:rsidRPr="006A548A">
        <w:rPr>
          <w:rFonts w:ascii="Garamond" w:hAnsi="Garamond"/>
          <w:sz w:val="22"/>
          <w:szCs w:val="22"/>
        </w:rPr>
        <w:t>október  3</w:t>
      </w:r>
      <w:proofErr w:type="gramEnd"/>
      <w:r w:rsidRPr="006A548A">
        <w:rPr>
          <w:rFonts w:ascii="Garamond" w:hAnsi="Garamond"/>
          <w:sz w:val="22"/>
          <w:szCs w:val="22"/>
        </w:rPr>
        <w:t>.</w:t>
      </w:r>
    </w:p>
    <w:p w:rsidR="004D7F1D" w:rsidRPr="006A548A" w:rsidRDefault="004D7F1D" w:rsidP="004D7F1D">
      <w:pPr>
        <w:ind w:right="1"/>
        <w:jc w:val="both"/>
        <w:rPr>
          <w:rFonts w:ascii="Garamond" w:hAnsi="Garamond"/>
          <w:sz w:val="22"/>
          <w:szCs w:val="22"/>
        </w:rPr>
      </w:pPr>
    </w:p>
    <w:p w:rsidR="004D7F1D" w:rsidRPr="006A548A" w:rsidRDefault="004D7F1D" w:rsidP="004D7F1D">
      <w:pPr>
        <w:ind w:left="2160" w:right="1" w:hanging="2160"/>
        <w:jc w:val="both"/>
        <w:rPr>
          <w:rFonts w:ascii="Garamond" w:hAnsi="Garamond"/>
          <w:sz w:val="22"/>
          <w:szCs w:val="22"/>
        </w:rPr>
      </w:pPr>
    </w:p>
    <w:p w:rsidR="004D7F1D" w:rsidRPr="006A548A" w:rsidRDefault="004D7F1D" w:rsidP="004D7F1D">
      <w:pPr>
        <w:ind w:left="2160" w:right="1" w:hanging="2160"/>
        <w:jc w:val="both"/>
        <w:rPr>
          <w:rFonts w:ascii="Garamond" w:hAnsi="Garamond"/>
          <w:sz w:val="22"/>
          <w:szCs w:val="22"/>
        </w:rPr>
      </w:pPr>
    </w:p>
    <w:p w:rsidR="004D7F1D" w:rsidRPr="006A548A" w:rsidRDefault="004D7F1D" w:rsidP="004D7F1D">
      <w:pPr>
        <w:ind w:left="2160" w:right="1" w:hanging="2160"/>
        <w:jc w:val="both"/>
        <w:rPr>
          <w:rFonts w:ascii="Garamond" w:hAnsi="Garamond"/>
          <w:sz w:val="22"/>
          <w:szCs w:val="22"/>
        </w:rPr>
      </w:pPr>
      <w:r w:rsidRPr="006A548A">
        <w:rPr>
          <w:rFonts w:ascii="Garamond" w:hAnsi="Garamond"/>
          <w:sz w:val="22"/>
          <w:szCs w:val="22"/>
        </w:rPr>
        <w:tab/>
      </w:r>
      <w:r w:rsidRPr="006A548A">
        <w:rPr>
          <w:rFonts w:ascii="Garamond" w:hAnsi="Garamond"/>
          <w:sz w:val="22"/>
          <w:szCs w:val="22"/>
        </w:rPr>
        <w:tab/>
      </w:r>
      <w:r w:rsidRPr="006A548A">
        <w:rPr>
          <w:rFonts w:ascii="Garamond" w:hAnsi="Garamond"/>
          <w:sz w:val="22"/>
          <w:szCs w:val="22"/>
        </w:rPr>
        <w:tab/>
        <w:t>Tisztelettel:</w:t>
      </w:r>
    </w:p>
    <w:p w:rsidR="004D7F1D" w:rsidRPr="006A548A" w:rsidRDefault="004D7F1D" w:rsidP="004D7F1D">
      <w:pPr>
        <w:ind w:left="2160" w:right="1" w:hanging="2160"/>
        <w:jc w:val="both"/>
        <w:rPr>
          <w:rFonts w:ascii="Garamond" w:hAnsi="Garamond"/>
          <w:sz w:val="22"/>
          <w:szCs w:val="22"/>
        </w:rPr>
      </w:pPr>
      <w:r w:rsidRPr="006A548A">
        <w:rPr>
          <w:rFonts w:ascii="Garamond" w:hAnsi="Garamond"/>
          <w:sz w:val="22"/>
          <w:szCs w:val="22"/>
        </w:rPr>
        <w:tab/>
      </w:r>
      <w:r w:rsidRPr="006A548A">
        <w:rPr>
          <w:rFonts w:ascii="Garamond" w:hAnsi="Garamond"/>
          <w:sz w:val="22"/>
          <w:szCs w:val="22"/>
        </w:rPr>
        <w:tab/>
      </w:r>
      <w:r w:rsidRPr="006A548A">
        <w:rPr>
          <w:rFonts w:ascii="Garamond" w:hAnsi="Garamond"/>
          <w:sz w:val="22"/>
          <w:szCs w:val="22"/>
        </w:rPr>
        <w:tab/>
      </w:r>
      <w:r w:rsidRPr="006A548A">
        <w:rPr>
          <w:rFonts w:ascii="Garamond" w:hAnsi="Garamond"/>
          <w:sz w:val="22"/>
          <w:szCs w:val="22"/>
        </w:rPr>
        <w:tab/>
      </w:r>
      <w:r w:rsidRPr="006A548A">
        <w:rPr>
          <w:rFonts w:ascii="Garamond" w:hAnsi="Garamond"/>
          <w:sz w:val="22"/>
          <w:szCs w:val="22"/>
        </w:rPr>
        <w:tab/>
      </w:r>
      <w:r w:rsidRPr="006A548A">
        <w:rPr>
          <w:rFonts w:ascii="Garamond" w:hAnsi="Garamond"/>
          <w:sz w:val="22"/>
          <w:szCs w:val="22"/>
        </w:rPr>
        <w:tab/>
      </w:r>
      <w:r w:rsidRPr="006A548A">
        <w:rPr>
          <w:rFonts w:ascii="Garamond" w:hAnsi="Garamond"/>
          <w:sz w:val="22"/>
          <w:szCs w:val="22"/>
        </w:rPr>
        <w:tab/>
      </w:r>
    </w:p>
    <w:p w:rsidR="004D7F1D" w:rsidRPr="006A548A" w:rsidRDefault="004D7F1D" w:rsidP="004D7F1D">
      <w:pPr>
        <w:ind w:left="2160" w:right="1" w:hanging="2160"/>
        <w:jc w:val="both"/>
        <w:rPr>
          <w:rFonts w:ascii="Garamond" w:hAnsi="Garamond"/>
          <w:sz w:val="22"/>
          <w:szCs w:val="22"/>
        </w:rPr>
      </w:pPr>
      <w:r w:rsidRPr="006A548A">
        <w:rPr>
          <w:rFonts w:ascii="Garamond" w:hAnsi="Garamond"/>
          <w:sz w:val="22"/>
          <w:szCs w:val="22"/>
        </w:rPr>
        <w:tab/>
      </w:r>
      <w:r w:rsidRPr="006A548A">
        <w:rPr>
          <w:rFonts w:ascii="Garamond" w:hAnsi="Garamond"/>
          <w:sz w:val="22"/>
          <w:szCs w:val="22"/>
        </w:rPr>
        <w:tab/>
      </w:r>
      <w:r w:rsidRPr="006A548A">
        <w:rPr>
          <w:rFonts w:ascii="Garamond" w:hAnsi="Garamond"/>
          <w:sz w:val="22"/>
          <w:szCs w:val="22"/>
        </w:rPr>
        <w:tab/>
      </w:r>
      <w:r w:rsidRPr="006A548A">
        <w:rPr>
          <w:rFonts w:ascii="Garamond" w:hAnsi="Garamond"/>
          <w:sz w:val="22"/>
          <w:szCs w:val="22"/>
        </w:rPr>
        <w:tab/>
      </w:r>
      <w:r w:rsidRPr="006A548A">
        <w:rPr>
          <w:rFonts w:ascii="Garamond" w:hAnsi="Garamond"/>
          <w:sz w:val="22"/>
          <w:szCs w:val="22"/>
        </w:rPr>
        <w:tab/>
      </w:r>
      <w:r w:rsidRPr="006A548A">
        <w:rPr>
          <w:rFonts w:ascii="Garamond" w:hAnsi="Garamond"/>
          <w:sz w:val="22"/>
          <w:szCs w:val="22"/>
        </w:rPr>
        <w:tab/>
        <w:t>……………………………….</w:t>
      </w:r>
    </w:p>
    <w:p w:rsidR="004D7F1D" w:rsidRPr="006A548A" w:rsidRDefault="004D7F1D" w:rsidP="004D7F1D">
      <w:pPr>
        <w:ind w:left="2160" w:right="1" w:hanging="2160"/>
        <w:jc w:val="both"/>
        <w:rPr>
          <w:rFonts w:ascii="Garamond" w:hAnsi="Garamond"/>
          <w:sz w:val="22"/>
          <w:szCs w:val="22"/>
        </w:rPr>
      </w:pPr>
      <w:r w:rsidRPr="006A548A">
        <w:rPr>
          <w:rFonts w:ascii="Garamond" w:hAnsi="Garamond"/>
          <w:sz w:val="22"/>
          <w:szCs w:val="22"/>
        </w:rPr>
        <w:tab/>
      </w:r>
      <w:r w:rsidRPr="006A548A">
        <w:rPr>
          <w:rFonts w:ascii="Garamond" w:hAnsi="Garamond"/>
          <w:sz w:val="22"/>
          <w:szCs w:val="22"/>
        </w:rPr>
        <w:tab/>
      </w:r>
      <w:r w:rsidRPr="006A548A">
        <w:rPr>
          <w:rFonts w:ascii="Garamond" w:hAnsi="Garamond"/>
          <w:sz w:val="22"/>
          <w:szCs w:val="22"/>
        </w:rPr>
        <w:tab/>
      </w:r>
      <w:r w:rsidRPr="006A548A">
        <w:rPr>
          <w:rFonts w:ascii="Garamond" w:hAnsi="Garamond"/>
          <w:sz w:val="22"/>
          <w:szCs w:val="22"/>
        </w:rPr>
        <w:tab/>
      </w:r>
      <w:r w:rsidRPr="006A548A">
        <w:rPr>
          <w:rFonts w:ascii="Garamond" w:hAnsi="Garamond"/>
          <w:sz w:val="22"/>
          <w:szCs w:val="22"/>
        </w:rPr>
        <w:tab/>
      </w:r>
      <w:r w:rsidRPr="006A548A">
        <w:rPr>
          <w:rFonts w:ascii="Garamond" w:hAnsi="Garamond"/>
          <w:sz w:val="22"/>
          <w:szCs w:val="22"/>
        </w:rPr>
        <w:tab/>
      </w:r>
      <w:r w:rsidRPr="006A548A">
        <w:rPr>
          <w:rFonts w:ascii="Garamond" w:hAnsi="Garamond"/>
          <w:sz w:val="22"/>
          <w:szCs w:val="22"/>
        </w:rPr>
        <w:tab/>
        <w:t>Kató Pálné jegyző</w:t>
      </w:r>
    </w:p>
    <w:p w:rsidR="005406D0" w:rsidRPr="006A548A" w:rsidRDefault="005406D0" w:rsidP="004D7F1D">
      <w:pPr>
        <w:ind w:right="1"/>
        <w:rPr>
          <w:sz w:val="22"/>
          <w:szCs w:val="22"/>
        </w:rPr>
      </w:pPr>
    </w:p>
    <w:p w:rsidR="004D7F1D" w:rsidRPr="006A548A" w:rsidRDefault="004D7F1D">
      <w:pPr>
        <w:ind w:right="1"/>
        <w:rPr>
          <w:sz w:val="22"/>
          <w:szCs w:val="22"/>
        </w:rPr>
      </w:pPr>
    </w:p>
    <w:sectPr w:rsidR="004D7F1D" w:rsidRPr="006A548A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4D7F1D"/>
    <w:rsid w:val="0003107E"/>
    <w:rsid w:val="00164C1B"/>
    <w:rsid w:val="002A2330"/>
    <w:rsid w:val="002C70D9"/>
    <w:rsid w:val="004534EB"/>
    <w:rsid w:val="004D7F1D"/>
    <w:rsid w:val="004E5590"/>
    <w:rsid w:val="005406D0"/>
    <w:rsid w:val="006A548A"/>
    <w:rsid w:val="007872CE"/>
    <w:rsid w:val="00AE5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D7F1D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4D7F1D"/>
    <w:pPr>
      <w:jc w:val="center"/>
    </w:pPr>
    <w:rPr>
      <w:rFonts w:ascii="Times New Roman" w:hAnsi="Times New Roman"/>
      <w:i/>
      <w:sz w:val="20"/>
    </w:rPr>
  </w:style>
  <w:style w:type="character" w:customStyle="1" w:styleId="CmChar">
    <w:name w:val="Cím Char"/>
    <w:basedOn w:val="Bekezdsalapbettpusa"/>
    <w:link w:val="Cm"/>
    <w:rsid w:val="004D7F1D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534EB"/>
    <w:rPr>
      <w:rFonts w:ascii="Tahoma" w:hAnsi="Tahoma" w:cs="Tahoma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534EB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4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3422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3</cp:revision>
  <dcterms:created xsi:type="dcterms:W3CDTF">2022-10-04T07:43:00Z</dcterms:created>
  <dcterms:modified xsi:type="dcterms:W3CDTF">2022-10-25T11:46:00Z</dcterms:modified>
</cp:coreProperties>
</file>