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0188B" w14:textId="06ACCE6E" w:rsidR="005406D0" w:rsidRDefault="005406D0">
      <w:pPr>
        <w:rPr>
          <w:rFonts w:ascii="Garamond" w:hAnsi="Garamond"/>
        </w:rPr>
      </w:pPr>
    </w:p>
    <w:p w14:paraId="2E77FB79" w14:textId="77777777" w:rsidR="00646636" w:rsidRDefault="00646636">
      <w:pPr>
        <w:rPr>
          <w:rFonts w:ascii="Garamond" w:hAnsi="Garamond"/>
        </w:rPr>
      </w:pPr>
    </w:p>
    <w:p w14:paraId="10D1829D" w14:textId="7FD48DF7" w:rsidR="00B43D44" w:rsidRDefault="00B43D44">
      <w:pPr>
        <w:rPr>
          <w:rFonts w:ascii="Garamond" w:hAnsi="Garamond"/>
        </w:rPr>
      </w:pPr>
    </w:p>
    <w:p w14:paraId="5BBD6FE8" w14:textId="77777777" w:rsidR="00646636" w:rsidRPr="00987309" w:rsidRDefault="00646636" w:rsidP="00646636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4791BE3" wp14:editId="352F95DA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3810" r="254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24553" w14:textId="77777777" w:rsidR="00646636" w:rsidRDefault="00646636" w:rsidP="00646636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1B263153" wp14:editId="233EF640">
                                  <wp:extent cx="447040" cy="762000"/>
                                  <wp:effectExtent l="0" t="0" r="0" b="0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91BE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MC6HA/eAAAACQEAAA8AAABkcnMvZG93bnJldi54&#10;bWxMj0FOwzAQRfdI3MEaJDaotVPatA1xKkACsW3pASbxNImIx1HsNuntcVew/Jqn/9/ku8l24kKD&#10;bx1rSOYKBHHlTMu1huP3x2wDwgdkg51j0nAlD7vi/i7HzLiR93Q5hFrEEvYZamhC6DMpfdWQRT93&#10;PXG8ndxgMcQ41NIMOMZy28mFUqm02HJcaLCn94aqn8PZajh9jU+r7Vh+huN6v0zfsF2X7qr148P0&#10;+gIi0BT+YLjpR3UoolPpzmy86GJOI6hhlqhNAuIGqMUSRKnhebUFWeTy/wfFL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AuhwP3gAAAAkBAAAPAAAAAAAAAAAAAAAAAEkEAABkcnMv&#10;ZG93bnJldi54bWxQSwUGAAAAAAQABADzAAAAVAUAAAAA&#10;" o:allowincell="f" stroked="f">
                <v:textbox>
                  <w:txbxContent>
                    <w:p w14:paraId="02D24553" w14:textId="77777777" w:rsidR="00646636" w:rsidRDefault="00646636" w:rsidP="00646636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1B263153" wp14:editId="233EF640">
                            <wp:extent cx="447040" cy="762000"/>
                            <wp:effectExtent l="0" t="0" r="0" b="0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4A37C" wp14:editId="4A50BD57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3175" r="4445" b="381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9B876" w14:textId="77777777" w:rsidR="00646636" w:rsidRDefault="00646636" w:rsidP="00646636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0A7435F5" wp14:editId="2746A1E4">
                                  <wp:extent cx="533400" cy="716280"/>
                                  <wp:effectExtent l="0" t="0" r="0" b="762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4A37C" id="Szövegdoboz 2" o:spid="_x0000_s1027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    <v:textbox>
                  <w:txbxContent>
                    <w:p w14:paraId="4179B876" w14:textId="77777777" w:rsidR="00646636" w:rsidRDefault="00646636" w:rsidP="00646636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0A7435F5" wp14:editId="2746A1E4">
                            <wp:extent cx="533400" cy="716280"/>
                            <wp:effectExtent l="0" t="0" r="0" b="762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D7B0D72" w14:textId="77777777" w:rsidR="00646636" w:rsidRPr="00987309" w:rsidRDefault="00646636" w:rsidP="00646636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1857299B" w14:textId="4BF71C8F" w:rsidR="00646636" w:rsidRPr="00646636" w:rsidRDefault="00646636" w:rsidP="00646636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7C094B55" w14:textId="12BB54A2" w:rsidR="001405C5" w:rsidRDefault="001405C5" w:rsidP="001405C5">
      <w:pPr>
        <w:spacing w:line="240" w:lineRule="auto"/>
        <w:mirrorIndents/>
        <w:rPr>
          <w:rFonts w:ascii="Garamond" w:hAnsi="Garamond"/>
        </w:rPr>
      </w:pPr>
      <w:r>
        <w:rPr>
          <w:rFonts w:ascii="Garamond" w:hAnsi="Garamond"/>
        </w:rPr>
        <w:t>CS/</w:t>
      </w:r>
      <w:r w:rsidR="006435B8">
        <w:rPr>
          <w:rFonts w:ascii="Garamond" w:hAnsi="Garamond"/>
        </w:rPr>
        <w:t>661-1</w:t>
      </w:r>
      <w:r>
        <w:rPr>
          <w:rFonts w:ascii="Garamond" w:hAnsi="Garamond"/>
        </w:rPr>
        <w:t>/2022.</w:t>
      </w:r>
    </w:p>
    <w:p w14:paraId="71C3F551" w14:textId="1F91AF44" w:rsidR="001405C5" w:rsidRDefault="001405C5" w:rsidP="001405C5">
      <w:pPr>
        <w:spacing w:after="0" w:line="240" w:lineRule="auto"/>
        <w:contextualSpacing/>
        <w:mirrorIndents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2FD906E" w14:textId="34136FC6" w:rsidR="001405C5" w:rsidRDefault="001405C5" w:rsidP="001405C5">
      <w:pPr>
        <w:spacing w:after="0" w:line="240" w:lineRule="auto"/>
        <w:contextualSpacing/>
        <w:mirrorIndents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68B3D0F9" w14:textId="67239BBC" w:rsidR="001405C5" w:rsidRDefault="001405C5" w:rsidP="001405C5">
      <w:pPr>
        <w:spacing w:after="0" w:line="240" w:lineRule="auto"/>
        <w:contextualSpacing/>
        <w:mirrorIndents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májusi ülésére</w:t>
      </w:r>
    </w:p>
    <w:p w14:paraId="5C1A6552" w14:textId="7BADD573" w:rsidR="001405C5" w:rsidRDefault="001405C5" w:rsidP="001405C5">
      <w:pPr>
        <w:spacing w:after="0" w:line="240" w:lineRule="auto"/>
        <w:contextualSpacing/>
        <w:mirrorIndents/>
        <w:jc w:val="center"/>
        <w:rPr>
          <w:rFonts w:ascii="Garamond" w:hAnsi="Garamond"/>
          <w:b/>
          <w:bCs/>
        </w:rPr>
      </w:pPr>
    </w:p>
    <w:p w14:paraId="3F5D2F1E" w14:textId="5E5F28BD" w:rsidR="001405C5" w:rsidRDefault="001405C5" w:rsidP="001405C5">
      <w:pPr>
        <w:spacing w:after="0" w:line="240" w:lineRule="auto"/>
        <w:contextualSpacing/>
        <w:mirrorIndents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610CCF">
        <w:rPr>
          <w:rFonts w:ascii="Garamond" w:hAnsi="Garamond"/>
          <w:i/>
          <w:iCs/>
        </w:rPr>
        <w:t>Csanytelek község</w:t>
      </w:r>
      <w:r>
        <w:rPr>
          <w:rFonts w:ascii="Garamond" w:hAnsi="Garamond"/>
          <w:i/>
          <w:iCs/>
        </w:rPr>
        <w:t xml:space="preserve"> közterülete</w:t>
      </w:r>
      <w:r w:rsidR="00610CCF">
        <w:rPr>
          <w:rFonts w:ascii="Garamond" w:hAnsi="Garamond"/>
          <w:i/>
          <w:iCs/>
        </w:rPr>
        <w:t>inek</w:t>
      </w:r>
      <w:r>
        <w:rPr>
          <w:rFonts w:ascii="Garamond" w:hAnsi="Garamond"/>
          <w:i/>
          <w:iCs/>
        </w:rPr>
        <w:t xml:space="preserve"> elnevezéséről és a házszám-megállapításról szóló önkormányzati rendelet alkotásának</w:t>
      </w:r>
      <w:r w:rsidR="00D53460">
        <w:rPr>
          <w:rFonts w:ascii="Garamond" w:hAnsi="Garamond"/>
          <w:i/>
          <w:iCs/>
        </w:rPr>
        <w:t xml:space="preserve"> </w:t>
      </w:r>
      <w:r w:rsidR="00610CCF">
        <w:rPr>
          <w:rFonts w:ascii="Garamond" w:hAnsi="Garamond"/>
          <w:i/>
          <w:iCs/>
        </w:rPr>
        <w:tab/>
      </w:r>
      <w:r w:rsidR="00D53460">
        <w:rPr>
          <w:rFonts w:ascii="Garamond" w:hAnsi="Garamond"/>
          <w:i/>
          <w:iCs/>
        </w:rPr>
        <w:t>kezdeményezése</w:t>
      </w:r>
    </w:p>
    <w:p w14:paraId="6FC6F946" w14:textId="3F55E898" w:rsidR="001405C5" w:rsidRDefault="001405C5" w:rsidP="001405C5">
      <w:pPr>
        <w:spacing w:after="0" w:line="240" w:lineRule="auto"/>
        <w:contextualSpacing/>
        <w:mirrorIndents/>
        <w:jc w:val="both"/>
        <w:rPr>
          <w:rFonts w:ascii="Garamond" w:hAnsi="Garamond"/>
          <w:i/>
          <w:iCs/>
        </w:rPr>
      </w:pPr>
    </w:p>
    <w:p w14:paraId="5DC8D3ED" w14:textId="50F6509F" w:rsidR="001405C5" w:rsidRDefault="001405C5" w:rsidP="001405C5">
      <w:pPr>
        <w:spacing w:after="0" w:line="240" w:lineRule="auto"/>
        <w:contextualSpacing/>
        <w:mirrorIndents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147FD116" w14:textId="0684ECFF" w:rsidR="001405C5" w:rsidRDefault="001405C5" w:rsidP="001405C5">
      <w:pPr>
        <w:spacing w:after="0" w:line="240" w:lineRule="auto"/>
        <w:contextualSpacing/>
        <w:mirrorIndents/>
        <w:jc w:val="center"/>
        <w:rPr>
          <w:rFonts w:ascii="Garamond" w:hAnsi="Garamond"/>
          <w:b/>
          <w:bCs/>
        </w:rPr>
      </w:pPr>
    </w:p>
    <w:p w14:paraId="3484A85D" w14:textId="05492960" w:rsidR="001405C5" w:rsidRDefault="001405C5" w:rsidP="001405C5">
      <w:pPr>
        <w:spacing w:after="0" w:line="240" w:lineRule="auto"/>
        <w:contextualSpacing/>
        <w:mirrorIndents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Magyarország helyi önkormányzatairól szóló 2011. évi CVXXXIX. törvény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</w:t>
      </w:r>
      <w:r w:rsidR="001044F8">
        <w:rPr>
          <w:rFonts w:ascii="Garamond" w:hAnsi="Garamond"/>
        </w:rPr>
        <w:t xml:space="preserve">8. § b) pontja szabályozza a helyi közösség tagjai önkormányzás tagjaként viselt kötelezettségei között </w:t>
      </w:r>
      <w:r w:rsidR="001044F8">
        <w:rPr>
          <w:rFonts w:ascii="Garamond" w:hAnsi="Garamond"/>
          <w:i/>
          <w:iCs/>
        </w:rPr>
        <w:t>a közösségi együttélés szabályainak betartását és betartatását</w:t>
      </w:r>
      <w:r w:rsidR="00D53460">
        <w:rPr>
          <w:rFonts w:ascii="Garamond" w:hAnsi="Garamond"/>
          <w:i/>
          <w:iCs/>
        </w:rPr>
        <w:t xml:space="preserve">. </w:t>
      </w:r>
      <w:r w:rsidR="00D53460">
        <w:rPr>
          <w:rFonts w:ascii="Garamond" w:hAnsi="Garamond"/>
        </w:rPr>
        <w:t xml:space="preserve">Az </w:t>
      </w:r>
      <w:proofErr w:type="spellStart"/>
      <w:r w:rsidR="00D53460">
        <w:rPr>
          <w:rFonts w:ascii="Garamond" w:hAnsi="Garamond"/>
        </w:rPr>
        <w:t>Mötv</w:t>
      </w:r>
      <w:proofErr w:type="spellEnd"/>
      <w:r w:rsidR="00D53460">
        <w:rPr>
          <w:rFonts w:ascii="Garamond" w:hAnsi="Garamond"/>
        </w:rPr>
        <w:t xml:space="preserve">. 14/A. § (5) bekezdése értelmében </w:t>
      </w:r>
      <w:r w:rsidR="00D53460">
        <w:rPr>
          <w:rFonts w:ascii="Garamond" w:hAnsi="Garamond"/>
          <w:i/>
          <w:iCs/>
        </w:rPr>
        <w:t xml:space="preserve">minden házszámmal ellátott épületen a tulajdonosnak fel kell tüntetnie a </w:t>
      </w:r>
      <w:r w:rsidR="00D53460">
        <w:rPr>
          <w:rFonts w:ascii="Garamond" w:hAnsi="Garamond"/>
          <w:i/>
          <w:iCs/>
          <w:u w:val="single"/>
        </w:rPr>
        <w:t xml:space="preserve">házszámot. </w:t>
      </w:r>
      <w:r w:rsidR="00D53460">
        <w:rPr>
          <w:rFonts w:ascii="Garamond" w:hAnsi="Garamond"/>
        </w:rPr>
        <w:t xml:space="preserve">Az </w:t>
      </w:r>
      <w:proofErr w:type="spellStart"/>
      <w:r w:rsidR="00D53460">
        <w:rPr>
          <w:rFonts w:ascii="Garamond" w:hAnsi="Garamond"/>
        </w:rPr>
        <w:t>Mötv</w:t>
      </w:r>
      <w:proofErr w:type="spellEnd"/>
      <w:r w:rsidR="00D53460">
        <w:rPr>
          <w:rFonts w:ascii="Garamond" w:hAnsi="Garamond"/>
        </w:rPr>
        <w:t xml:space="preserve">. 143. § (3) bekezdésében az önkormányzat képviselő-testülete felhatalmazást (ami egyben köteles) kapott arra, hogy </w:t>
      </w:r>
      <w:r w:rsidR="00D53460">
        <w:rPr>
          <w:rFonts w:ascii="Garamond" w:hAnsi="Garamond"/>
          <w:i/>
          <w:iCs/>
        </w:rPr>
        <w:t>rendeletben állapítsa meg a házszám-megállapítás szabályait.</w:t>
      </w:r>
    </w:p>
    <w:p w14:paraId="62C50A56" w14:textId="51F65D74" w:rsidR="007D4E26" w:rsidRPr="007D4E26" w:rsidRDefault="007D4E26" w:rsidP="001405C5">
      <w:pPr>
        <w:spacing w:after="0" w:line="240" w:lineRule="auto"/>
        <w:contextualSpacing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</w:t>
      </w:r>
      <w:r w:rsidR="00532BE6">
        <w:rPr>
          <w:rFonts w:ascii="Garamond" w:hAnsi="Garamond"/>
        </w:rPr>
        <w:t xml:space="preserve">(a továbbiakban: SZMSZ) </w:t>
      </w:r>
      <w:r>
        <w:rPr>
          <w:rFonts w:ascii="Garamond" w:hAnsi="Garamond"/>
        </w:rPr>
        <w:t xml:space="preserve">19. </w:t>
      </w:r>
      <w:r w:rsidR="00287904">
        <w:rPr>
          <w:rFonts w:ascii="Garamond" w:hAnsi="Garamond"/>
        </w:rPr>
        <w:t xml:space="preserve">§ (1) bekezdés d) pontjában kapott felhatalmazás alapján készítettem el és terjesztem be a tárgyi önkormányzati rendelet-tervezetet. </w:t>
      </w:r>
    </w:p>
    <w:p w14:paraId="6D98FEBC" w14:textId="56AC6731" w:rsidR="006C1C99" w:rsidRDefault="006C1C99" w:rsidP="001405C5">
      <w:pPr>
        <w:spacing w:after="0" w:line="240" w:lineRule="auto"/>
        <w:contextualSpacing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>A központi cím regiszterről szóló központi jogszabály az egész ország területét lefedő, egységes, közteles címnyilvántartás, amelynek adatai pontosak. A cél az, hogy a különböző nyilvántartásokban lévő címadatoknak meg kell egyeznie a KCR adataival. Ez a folyamat közel 10 év</w:t>
      </w:r>
      <w:r w:rsidR="00242864">
        <w:rPr>
          <w:rFonts w:ascii="Garamond" w:hAnsi="Garamond"/>
        </w:rPr>
        <w:t>e</w:t>
      </w:r>
      <w:r>
        <w:rPr>
          <w:rFonts w:ascii="Garamond" w:hAnsi="Garamond"/>
        </w:rPr>
        <w:t xml:space="preserve"> zajlik, melynek végrehajtásával a település jegyzője </w:t>
      </w:r>
      <w:proofErr w:type="gramStart"/>
      <w:r>
        <w:rPr>
          <w:rFonts w:ascii="Garamond" w:hAnsi="Garamond"/>
        </w:rPr>
        <w:t>kell</w:t>
      </w:r>
      <w:proofErr w:type="gramEnd"/>
      <w:r>
        <w:rPr>
          <w:rFonts w:ascii="Garamond" w:hAnsi="Garamond"/>
        </w:rPr>
        <w:t xml:space="preserve"> hogy megbirkózzon minden településen. </w:t>
      </w:r>
    </w:p>
    <w:p w14:paraId="4EE4334C" w14:textId="081EDF82" w:rsidR="006D5A20" w:rsidRDefault="006C1C99" w:rsidP="001405C5">
      <w:pPr>
        <w:spacing w:after="0" w:line="240" w:lineRule="auto"/>
        <w:contextualSpacing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>Sajnos településünk</w:t>
      </w:r>
      <w:r w:rsidR="00ED656D">
        <w:rPr>
          <w:rFonts w:ascii="Garamond" w:hAnsi="Garamond"/>
        </w:rPr>
        <w:t>ön a</w:t>
      </w:r>
      <w:r>
        <w:rPr>
          <w:rFonts w:ascii="Garamond" w:hAnsi="Garamond"/>
        </w:rPr>
        <w:t xml:space="preserve"> kül</w:t>
      </w:r>
      <w:r w:rsidR="002944CB">
        <w:rPr>
          <w:rFonts w:ascii="Garamond" w:hAnsi="Garamond"/>
        </w:rPr>
        <w:t>területei</w:t>
      </w:r>
      <w:r>
        <w:rPr>
          <w:rFonts w:ascii="Garamond" w:hAnsi="Garamond"/>
        </w:rPr>
        <w:t xml:space="preserve"> és belterületi elosztása</w:t>
      </w:r>
      <w:r w:rsidR="002944CB">
        <w:rPr>
          <w:rFonts w:ascii="Garamond" w:hAnsi="Garamond"/>
        </w:rPr>
        <w:t>, földrajzi elhelyezkedése, a helyi építésügyi hatóság évtizeden át tartó rossz gyakorlata következtében olyan házszámozás ment végbe, amely rendkívüli élethelyzetek sorát eredményezi. Ilyen az azonos házszámok esete, amely kényszerűségből a perjel és a)-b) stb. ponttal való jelöléssel időlegesen megoldást adott, de a hivatkozott központi jogszabály szerinti eljárás során már nem alkalmazható.</w:t>
      </w:r>
      <w:r w:rsidR="00696563">
        <w:rPr>
          <w:rFonts w:ascii="Garamond" w:hAnsi="Garamond"/>
        </w:rPr>
        <w:t xml:space="preserve"> Alapvető gond, hogy </w:t>
      </w:r>
      <w:r w:rsidR="00227E4B">
        <w:rPr>
          <w:rFonts w:ascii="Garamond" w:hAnsi="Garamond"/>
        </w:rPr>
        <w:t xml:space="preserve">a településen </w:t>
      </w:r>
      <w:r w:rsidR="00696563">
        <w:rPr>
          <w:rFonts w:ascii="Garamond" w:hAnsi="Garamond"/>
        </w:rPr>
        <w:t>egy adott</w:t>
      </w:r>
      <w:r w:rsidR="00227E4B">
        <w:rPr>
          <w:rFonts w:ascii="Garamond" w:hAnsi="Garamond"/>
        </w:rPr>
        <w:t xml:space="preserve"> utcában az építési engedélyezési eljárás során arra az ingatlanra szólóan adott ki házszámot a Községi Tanács Szakigazgatási Szerve, amely addig kiadott sorszám után következett és nem vette figyelembe a be nem épített ingatlanokat. Ennek köszönhetően az utca lakóházai véletlenszerűen kerülhetettek egymást követő sorrendiségű házszámozás alá. Az építési hatáskör gyakori változása, amely a Szentesi Járáshivatal, majd annak megszüntetésével Csongrád Város Önkormányzata Hivatal Építési Osztálya, ezt követően Csongrád-Csanád Megyei Kormányhivatal illetékes Főosztálya </w:t>
      </w:r>
      <w:r w:rsidR="00430E7F">
        <w:rPr>
          <w:rFonts w:ascii="Garamond" w:hAnsi="Garamond"/>
        </w:rPr>
        <w:t xml:space="preserve">által történik, nem mozdították előre a településen lévő lakóingatlanok házszámozási helyzetét. </w:t>
      </w:r>
      <w:bookmarkStart w:id="0" w:name="_Hlk106107298"/>
      <w:r w:rsidR="00430E7F">
        <w:rPr>
          <w:rFonts w:ascii="Garamond" w:hAnsi="Garamond"/>
        </w:rPr>
        <w:t>Az adott ingatlan házszámát az építési hatóság határozza meg, amely az illetékes Földhivatal ingatlannyilvántartásába a tulajdonos adatai között szerepel, mellyel az ingatlan házszáma közhitelessé válva</w:t>
      </w:r>
      <w:r w:rsidR="006D5A20">
        <w:rPr>
          <w:rFonts w:ascii="Garamond" w:hAnsi="Garamond"/>
        </w:rPr>
        <w:t>, annak ellenkezője bizonyításáig valósnak kell tekinteni.</w:t>
      </w:r>
    </w:p>
    <w:p w14:paraId="39A48A5B" w14:textId="21E95191" w:rsidR="001750A3" w:rsidRDefault="006D5A20" w:rsidP="001405C5">
      <w:pPr>
        <w:spacing w:after="0" w:line="240" w:lineRule="auto"/>
        <w:contextualSpacing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legfőbb problémát az okozza, amikor egy lakóingatlan vásárlása során az adásvételi szerződésben az ingatlan helyrajzi száma mellett az ingatlan házszáma feltüntetése a tulajdoni lappal megegyező adatok </w:t>
      </w:r>
      <w:r w:rsidR="00BB5F80">
        <w:rPr>
          <w:rFonts w:ascii="Garamond" w:hAnsi="Garamond"/>
        </w:rPr>
        <w:t>szerepelnek, amely nem egyezik a kialakult jelenlegi házszámozással. Amikor az új tulajdonos eleget akar tenni a lakóingatlanba való bejelentkezési kötelezettségének, lakcím változás jogcímén eljárást kezdeményez, akkor derül ki, hogy a lakcímnyilvántartás és az ingatlannyilvántartás házszámra vonatkozó adata nem egyezik, ami gyakorlatilag elsőkörben meghiúsítja az eredményezés hatósági eljárás lefolytatását. Ekkor belép a KCR eljárás, amely egy javítás feladásával korrigál, ami lehetővé teszi a megfelelő házszám feltüntetését és a bejelentkezést.</w:t>
      </w:r>
      <w:r w:rsidR="00D042F3">
        <w:rPr>
          <w:rFonts w:ascii="Garamond" w:hAnsi="Garamond"/>
        </w:rPr>
        <w:t xml:space="preserve"> A kérelemre, vagy hivatalból indult eljárás az </w:t>
      </w:r>
      <w:proofErr w:type="spellStart"/>
      <w:r w:rsidR="00D042F3">
        <w:rPr>
          <w:rFonts w:ascii="Garamond" w:hAnsi="Garamond"/>
        </w:rPr>
        <w:t>Ákr</w:t>
      </w:r>
      <w:proofErr w:type="spellEnd"/>
      <w:r w:rsidR="00D042F3">
        <w:rPr>
          <w:rFonts w:ascii="Garamond" w:hAnsi="Garamond"/>
        </w:rPr>
        <w:t>. hatálya alá tartozik és a jegyző által kiadott határozattal zárul.</w:t>
      </w:r>
      <w:r w:rsidR="00BB5F80">
        <w:rPr>
          <w:rFonts w:ascii="Garamond" w:hAnsi="Garamond"/>
        </w:rPr>
        <w:t xml:space="preserve"> </w:t>
      </w:r>
      <w:r w:rsidR="001750A3">
        <w:rPr>
          <w:rFonts w:ascii="Garamond" w:hAnsi="Garamond"/>
        </w:rPr>
        <w:t>Ez a könnyebbik eset.</w:t>
      </w:r>
    </w:p>
    <w:bookmarkEnd w:id="0"/>
    <w:p w14:paraId="5EA49919" w14:textId="77777777" w:rsidR="00A742A7" w:rsidRDefault="001750A3" w:rsidP="001405C5">
      <w:pPr>
        <w:spacing w:after="0" w:line="240" w:lineRule="auto"/>
        <w:contextualSpacing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Nehezebb a helyzet a </w:t>
      </w:r>
      <w:r>
        <w:rPr>
          <w:rFonts w:ascii="Garamond" w:hAnsi="Garamond"/>
          <w:i/>
          <w:iCs/>
        </w:rPr>
        <w:t>költözés nélküli lakcím változás esetén</w:t>
      </w:r>
      <w:r w:rsidR="00CD593D">
        <w:rPr>
          <w:rFonts w:ascii="Garamond" w:hAnsi="Garamond"/>
          <w:i/>
          <w:iCs/>
        </w:rPr>
        <w:t>,</w:t>
      </w:r>
      <w:r w:rsidR="00CD593D">
        <w:rPr>
          <w:rFonts w:ascii="Garamond" w:hAnsi="Garamond"/>
        </w:rPr>
        <w:t xml:space="preserve"> mert az </w:t>
      </w:r>
    </w:p>
    <w:p w14:paraId="3150E7BD" w14:textId="66C02C7B" w:rsidR="00A742A7" w:rsidRDefault="00CD593D" w:rsidP="00A742A7">
      <w:pPr>
        <w:pStyle w:val="Listaszerbekezds"/>
        <w:numPr>
          <w:ilvl w:val="0"/>
          <w:numId w:val="1"/>
        </w:numPr>
        <w:spacing w:after="0" w:line="240" w:lineRule="auto"/>
        <w:mirrorIndents/>
        <w:jc w:val="both"/>
        <w:rPr>
          <w:rFonts w:ascii="Garamond" w:hAnsi="Garamond"/>
        </w:rPr>
      </w:pPr>
      <w:r w:rsidRPr="00A742A7">
        <w:rPr>
          <w:rFonts w:ascii="Garamond" w:hAnsi="Garamond"/>
        </w:rPr>
        <w:t xml:space="preserve">egy speciális címkezelési államigazgatási eljárás, amely nem tartozik az </w:t>
      </w:r>
      <w:proofErr w:type="spellStart"/>
      <w:r w:rsidRPr="00A742A7">
        <w:rPr>
          <w:rFonts w:ascii="Garamond" w:hAnsi="Garamond"/>
        </w:rPr>
        <w:t>Ákr</w:t>
      </w:r>
      <w:proofErr w:type="spellEnd"/>
      <w:r w:rsidR="00242864">
        <w:rPr>
          <w:rFonts w:ascii="Garamond" w:hAnsi="Garamond"/>
        </w:rPr>
        <w:t>.</w:t>
      </w:r>
      <w:r w:rsidRPr="00A742A7">
        <w:rPr>
          <w:rFonts w:ascii="Garamond" w:hAnsi="Garamond"/>
        </w:rPr>
        <w:t xml:space="preserve"> hatálya alá, nincs ügyfél, így senki nem jogosult az ügyféli jogok gyakorlására, kötelezettségek teljesítésére</w:t>
      </w:r>
      <w:r w:rsidR="00A742A7" w:rsidRPr="00A742A7">
        <w:rPr>
          <w:rFonts w:ascii="Garamond" w:hAnsi="Garamond"/>
        </w:rPr>
        <w:t>,</w:t>
      </w:r>
      <w:r w:rsidRPr="00A742A7">
        <w:rPr>
          <w:rFonts w:ascii="Garamond" w:hAnsi="Garamond"/>
        </w:rPr>
        <w:t xml:space="preserve"> </w:t>
      </w:r>
    </w:p>
    <w:p w14:paraId="5DDEF78A" w14:textId="77777777" w:rsidR="00A742A7" w:rsidRDefault="00A742A7" w:rsidP="00A742A7">
      <w:pPr>
        <w:pStyle w:val="Listaszerbekezds"/>
        <w:numPr>
          <w:ilvl w:val="0"/>
          <w:numId w:val="1"/>
        </w:numPr>
        <w:spacing w:after="0" w:line="240" w:lineRule="auto"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lakcím változás </w:t>
      </w:r>
      <w:r w:rsidR="00CD593D" w:rsidRPr="00A742A7">
        <w:rPr>
          <w:rFonts w:ascii="Garamond" w:hAnsi="Garamond"/>
        </w:rPr>
        <w:t>nem számít adat</w:t>
      </w:r>
      <w:r>
        <w:rPr>
          <w:rFonts w:ascii="Garamond" w:hAnsi="Garamond"/>
        </w:rPr>
        <w:t>változásnak, ezért</w:t>
      </w:r>
    </w:p>
    <w:p w14:paraId="0D2DBB88" w14:textId="77777777" w:rsidR="00A742A7" w:rsidRDefault="00A742A7" w:rsidP="00A742A7">
      <w:pPr>
        <w:pStyle w:val="Listaszerbekezds"/>
        <w:numPr>
          <w:ilvl w:val="0"/>
          <w:numId w:val="1"/>
        </w:numPr>
        <w:spacing w:after="0" w:line="240" w:lineRule="auto"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>a lakóingatlan tulajdonosa nem tud élni a közszolgáltatók felé a házszám változása bejelentési kötelezettségével,</w:t>
      </w:r>
    </w:p>
    <w:p w14:paraId="6729BADC" w14:textId="77777777" w:rsidR="002B1407" w:rsidRDefault="00A742A7" w:rsidP="00A742A7">
      <w:pPr>
        <w:pStyle w:val="Listaszerbekezds"/>
        <w:numPr>
          <w:ilvl w:val="0"/>
          <w:numId w:val="1"/>
        </w:numPr>
        <w:spacing w:after="0" w:line="240" w:lineRule="auto"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>a KCR jegyzői eljárás során az adatbázisba való bejegyzés</w:t>
      </w:r>
      <w:r w:rsidR="00DD7BA6">
        <w:rPr>
          <w:rFonts w:ascii="Garamond" w:hAnsi="Garamond"/>
        </w:rPr>
        <w:t xml:space="preserve">hez képest nincs helyszíni bejárás, </w:t>
      </w:r>
      <w:r w:rsidR="002B1407">
        <w:rPr>
          <w:rFonts w:ascii="Garamond" w:hAnsi="Garamond"/>
        </w:rPr>
        <w:t xml:space="preserve">írásbeli döntés, határozat nem hozható, így értelemszerű, hogy nincs jogorvoslati eljárás sem, sőt panasz sem tehető. </w:t>
      </w:r>
    </w:p>
    <w:p w14:paraId="52430DEB" w14:textId="77777777" w:rsidR="002B1407" w:rsidRDefault="002B1407" w:rsidP="002B1407">
      <w:pPr>
        <w:spacing w:after="0" w:line="240" w:lineRule="auto"/>
        <w:mirrorIndents/>
        <w:jc w:val="both"/>
        <w:rPr>
          <w:rFonts w:ascii="Garamond" w:hAnsi="Garamond"/>
        </w:rPr>
      </w:pPr>
    </w:p>
    <w:p w14:paraId="69B4ACD8" w14:textId="77777777" w:rsidR="00646636" w:rsidRDefault="00646636" w:rsidP="002B1407">
      <w:pPr>
        <w:spacing w:after="0" w:line="240" w:lineRule="auto"/>
        <w:mirrorIndents/>
        <w:jc w:val="center"/>
        <w:rPr>
          <w:rFonts w:ascii="Garamond" w:hAnsi="Garamond"/>
          <w:b/>
          <w:bCs/>
        </w:rPr>
      </w:pPr>
    </w:p>
    <w:p w14:paraId="6A19C4ED" w14:textId="77777777" w:rsidR="00646636" w:rsidRDefault="00646636" w:rsidP="002B1407">
      <w:pPr>
        <w:spacing w:after="0" w:line="240" w:lineRule="auto"/>
        <w:mirrorIndents/>
        <w:jc w:val="center"/>
        <w:rPr>
          <w:rFonts w:ascii="Garamond" w:hAnsi="Garamond"/>
          <w:b/>
          <w:bCs/>
        </w:rPr>
      </w:pPr>
    </w:p>
    <w:p w14:paraId="59302A02" w14:textId="5357CB29" w:rsidR="006C1C99" w:rsidRDefault="002B1407" w:rsidP="002B1407">
      <w:pPr>
        <w:spacing w:after="0" w:line="240" w:lineRule="auto"/>
        <w:mirrorIndents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1EA36487" w14:textId="77777777" w:rsidR="00450DDD" w:rsidRDefault="00450DDD" w:rsidP="007543FC">
      <w:pPr>
        <w:spacing w:after="0" w:line="240" w:lineRule="auto"/>
        <w:mirrorIndents/>
        <w:jc w:val="both"/>
        <w:rPr>
          <w:rFonts w:ascii="Garamond" w:hAnsi="Garamond"/>
        </w:rPr>
      </w:pPr>
    </w:p>
    <w:p w14:paraId="0D730E84" w14:textId="59EAA4AA" w:rsidR="009E03DA" w:rsidRDefault="007543FC" w:rsidP="009E03DA">
      <w:pPr>
        <w:spacing w:after="0" w:line="240" w:lineRule="auto"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hosszabbnak tűnő bevezetőt azért tartottam </w:t>
      </w:r>
      <w:r w:rsidR="00ED656D">
        <w:rPr>
          <w:rFonts w:ascii="Garamond" w:hAnsi="Garamond"/>
        </w:rPr>
        <w:t xml:space="preserve">szükségesnek </w:t>
      </w:r>
      <w:bookmarkStart w:id="1" w:name="_Hlk106107396"/>
      <w:r>
        <w:rPr>
          <w:rFonts w:ascii="Garamond" w:hAnsi="Garamond"/>
        </w:rPr>
        <w:t xml:space="preserve">a tárgyi önkormányzati rendelet-tervezet elé benyújtani, mert a tervezet értelmezéséhez azt nélkülözhetetlennek tartom. A tervezet a település névtábláira vonatkozó rendelkezése már a rendelet hatályba lépése előtt megvalósult, ott </w:t>
      </w:r>
      <w:proofErr w:type="gramStart"/>
      <w:r>
        <w:rPr>
          <w:rFonts w:ascii="Garamond" w:hAnsi="Garamond"/>
        </w:rPr>
        <w:t>egyenlőre</w:t>
      </w:r>
      <w:proofErr w:type="gramEnd"/>
      <w:r>
        <w:rPr>
          <w:rFonts w:ascii="Garamond" w:hAnsi="Garamond"/>
        </w:rPr>
        <w:t xml:space="preserve"> nincs feladat. A házszámtáblák esete már bonyolultabb, mert azt hozzá kell igazítani a településképről szóló hatályos önkormányzati rendeletbe</w:t>
      </w:r>
      <w:r w:rsidR="002D6FB1">
        <w:rPr>
          <w:rFonts w:ascii="Garamond" w:hAnsi="Garamond"/>
        </w:rPr>
        <w:t>n</w:t>
      </w:r>
      <w:r>
        <w:rPr>
          <w:rFonts w:ascii="Garamond" w:hAnsi="Garamond"/>
        </w:rPr>
        <w:t xml:space="preserve"> írtakkal. Ennek azért van jelentősége, mert az Alaptörvény 32. cikk (3) bekezdése értelmében, az önkormányzati nem lehet ellentétes más jogszabállyal. </w:t>
      </w:r>
      <w:r w:rsidR="00127DB1">
        <w:rPr>
          <w:rFonts w:ascii="Garamond" w:hAnsi="Garamond"/>
        </w:rPr>
        <w:t xml:space="preserve">Nagy jelentőséggel bír </w:t>
      </w:r>
      <w:r w:rsidR="00AD7DE9">
        <w:rPr>
          <w:rFonts w:ascii="Garamond" w:hAnsi="Garamond"/>
        </w:rPr>
        <w:t xml:space="preserve">a tervezetnek </w:t>
      </w:r>
      <w:r w:rsidR="00127DB1">
        <w:rPr>
          <w:rFonts w:ascii="Garamond" w:hAnsi="Garamond"/>
        </w:rPr>
        <w:t>az a rendelkezés</w:t>
      </w:r>
      <w:r w:rsidR="00AD7DE9">
        <w:rPr>
          <w:rFonts w:ascii="Garamond" w:hAnsi="Garamond"/>
        </w:rPr>
        <w:t>e</w:t>
      </w:r>
      <w:r w:rsidR="00127DB1">
        <w:rPr>
          <w:rFonts w:ascii="Garamond" w:hAnsi="Garamond"/>
        </w:rPr>
        <w:t xml:space="preserve">, amely kimondja, hogy e rendeletbe foglalt szabályokat a már kialakult viszonyokra nem, csak a rendelet hatályba lépését követően végbemenő eljárásokra kell alkalmazni. </w:t>
      </w:r>
      <w:r w:rsidR="00043A00">
        <w:rPr>
          <w:rFonts w:ascii="Garamond" w:hAnsi="Garamond"/>
        </w:rPr>
        <w:t>Ez nemcsak az érintett lakóingatlan tulajdonosának és a lakóingatlanban bejelentett lakcímmel rendelkezőknek, hanem az eljárásban érintett hivatalon túl, az illetékes Kormányhivatalnak, az illetékes Földhivatalnak óriási logisztikai feladatot és azon túli eljárások sorát hozza, nem szólva olyan közszolgáltatá</w:t>
      </w:r>
      <w:r w:rsidR="001C5288">
        <w:rPr>
          <w:rFonts w:ascii="Garamond" w:hAnsi="Garamond"/>
        </w:rPr>
        <w:t>si feladatot ellátókról, mint a rendőrség, a katasztrófavédelem, a mentőszolgálat</w:t>
      </w:r>
      <w:r w:rsidR="009A6894">
        <w:rPr>
          <w:rFonts w:ascii="Garamond" w:hAnsi="Garamond"/>
        </w:rPr>
        <w:t xml:space="preserve">, a postai kézbesítés, a háziorvos, oktatási- nevelési intézmények és még sorolhatnám, ahol </w:t>
      </w:r>
      <w:r w:rsidR="008A448D">
        <w:rPr>
          <w:rFonts w:ascii="Garamond" w:hAnsi="Garamond"/>
        </w:rPr>
        <w:t xml:space="preserve">feladat ellátását </w:t>
      </w:r>
      <w:r w:rsidR="009A6894">
        <w:rPr>
          <w:rFonts w:ascii="Garamond" w:hAnsi="Garamond"/>
        </w:rPr>
        <w:t>a házfalon 1 évig fennhagyott régi, érvénytelenített házszám és az új</w:t>
      </w:r>
      <w:r w:rsidR="008A448D">
        <w:rPr>
          <w:rFonts w:ascii="Garamond" w:hAnsi="Garamond"/>
        </w:rPr>
        <w:t xml:space="preserve"> házszám együttes jel</w:t>
      </w:r>
      <w:r w:rsidR="004C0D43">
        <w:rPr>
          <w:rFonts w:ascii="Garamond" w:hAnsi="Garamond"/>
        </w:rPr>
        <w:t>enléte</w:t>
      </w:r>
      <w:r w:rsidR="009A6894">
        <w:rPr>
          <w:rFonts w:ascii="Garamond" w:hAnsi="Garamond"/>
        </w:rPr>
        <w:t>, akár KCR eljárással, akár más módon megy végbe</w:t>
      </w:r>
      <w:r w:rsidR="004C0D43">
        <w:rPr>
          <w:rFonts w:ascii="Garamond" w:hAnsi="Garamond"/>
        </w:rPr>
        <w:t xml:space="preserve"> az eljárás</w:t>
      </w:r>
      <w:r w:rsidR="009A6894">
        <w:rPr>
          <w:rFonts w:ascii="Garamond" w:hAnsi="Garamond"/>
        </w:rPr>
        <w:t xml:space="preserve">, segíti mindenki </w:t>
      </w:r>
      <w:r w:rsidR="009D5613">
        <w:rPr>
          <w:rFonts w:ascii="Garamond" w:hAnsi="Garamond"/>
        </w:rPr>
        <w:t>eligazodását</w:t>
      </w:r>
      <w:r w:rsidR="004C0D43">
        <w:rPr>
          <w:rFonts w:ascii="Garamond" w:hAnsi="Garamond"/>
        </w:rPr>
        <w:t xml:space="preserve"> és a nyilvántartások adatainak valósághűségét.</w:t>
      </w:r>
    </w:p>
    <w:bookmarkEnd w:id="1"/>
    <w:p w14:paraId="3A7D1137" w14:textId="77777777" w:rsidR="009E03DA" w:rsidRDefault="009E03DA" w:rsidP="009E03DA">
      <w:pPr>
        <w:spacing w:after="0" w:line="240" w:lineRule="auto"/>
        <w:mirrorIndents/>
        <w:jc w:val="both"/>
        <w:rPr>
          <w:rFonts w:ascii="Garamond" w:hAnsi="Garamond"/>
        </w:rPr>
      </w:pPr>
    </w:p>
    <w:p w14:paraId="73B76404" w14:textId="7C5E70E8" w:rsidR="00532BE6" w:rsidRDefault="00532BE6" w:rsidP="00532BE6">
      <w:pPr>
        <w:ind w:right="1"/>
        <w:contextualSpacing/>
        <w:jc w:val="both"/>
        <w:rPr>
          <w:rFonts w:ascii="Garamond" w:hAnsi="Garamond"/>
          <w:i/>
        </w:rPr>
      </w:pPr>
      <w:r w:rsidRPr="004C1C67">
        <w:rPr>
          <w:rFonts w:ascii="Garamond" w:hAnsi="Garamond"/>
        </w:rPr>
        <w:t>A hatályos SZMSZ 19. § (5)-(6) bekezdésében írt jegyzői kötelezettségemnek és a település lakossága számára nyújtott tájékoztatási feladatnak is</w:t>
      </w:r>
      <w:r w:rsidR="00976E30">
        <w:rPr>
          <w:rFonts w:ascii="Garamond" w:hAnsi="Garamond"/>
        </w:rPr>
        <w:t xml:space="preserve"> </w:t>
      </w:r>
      <w:r w:rsidRPr="004C1C67">
        <w:rPr>
          <w:rFonts w:ascii="Garamond" w:hAnsi="Garamond"/>
        </w:rPr>
        <w:t xml:space="preserve">eleget-téve rögzítem, hogy a tárgyi önkormányzati rendelet-tervezet szövegének kifüggesztése a hivatal hirdetőtábláján 2022. </w:t>
      </w:r>
      <w:r w:rsidR="00976E30">
        <w:rPr>
          <w:rFonts w:ascii="Garamond" w:hAnsi="Garamond"/>
        </w:rPr>
        <w:t>május</w:t>
      </w:r>
      <w:r w:rsidRPr="004C1C67">
        <w:rPr>
          <w:rFonts w:ascii="Garamond" w:hAnsi="Garamond"/>
        </w:rPr>
        <w:t xml:space="preserve"> </w:t>
      </w:r>
      <w:r w:rsidR="00976E30">
        <w:rPr>
          <w:rFonts w:ascii="Garamond" w:hAnsi="Garamond"/>
        </w:rPr>
        <w:t>5</w:t>
      </w:r>
      <w:r w:rsidRPr="004C1C67">
        <w:rPr>
          <w:rFonts w:ascii="Garamond" w:hAnsi="Garamond"/>
        </w:rPr>
        <w:t xml:space="preserve">. napján megtörtént és az 5 napos lakossági véleményezési határidő letelte után megállapítottam, hogy a tárgyi önkormányzati rendelet-tervezethez </w:t>
      </w:r>
      <w:r w:rsidRPr="004C1C67">
        <w:rPr>
          <w:rFonts w:ascii="Garamond" w:hAnsi="Garamond"/>
          <w:i/>
        </w:rPr>
        <w:t xml:space="preserve">a lakosság köréből nem érkezett javaslat. </w:t>
      </w:r>
    </w:p>
    <w:p w14:paraId="6E6647D0" w14:textId="4E1E7A2D" w:rsidR="00976E30" w:rsidRPr="004C1C67" w:rsidRDefault="00976E30" w:rsidP="00976E30">
      <w:pPr>
        <w:spacing w:after="0" w:line="240" w:lineRule="auto"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>A fenti jogszabályi rendelkezésekre való hivatkozással, az SZMSZ 23. § (4) b) pontja szerint véleményt formálni jogosított Ügyrendi Bizottság, a Pénzügyi Ellenőrző, Foglalkoztatáspolitikai és Településfejlesztési Bizottság előzetes véleményének kikérésével nyújtom be a tárgyi rendelet-tervezetet annak jóváhagyása céljára a Képviselő-testület számára.</w:t>
      </w:r>
    </w:p>
    <w:p w14:paraId="5D84F513" w14:textId="62E89B53" w:rsidR="00532BE6" w:rsidRPr="00D450EF" w:rsidRDefault="00532BE6" w:rsidP="00532BE6">
      <w:pPr>
        <w:jc w:val="both"/>
        <w:rPr>
          <w:rFonts w:ascii="Garamond" w:hAnsi="Garamond"/>
          <w:bCs/>
        </w:rPr>
      </w:pPr>
      <w:r w:rsidRPr="008C27F3">
        <w:rPr>
          <w:rFonts w:ascii="Garamond" w:hAnsi="Garamond"/>
        </w:rPr>
        <w:t xml:space="preserve">A fentiekre alapozva az </w:t>
      </w:r>
      <w:r w:rsidRPr="008C27F3">
        <w:rPr>
          <w:rFonts w:ascii="Garamond" w:hAnsi="Garamond"/>
          <w:i/>
          <w:iCs/>
        </w:rPr>
        <w:t xml:space="preserve">önkormányzati rendelet hatályba léptetését annak kihirdetését követően, 2022. </w:t>
      </w:r>
      <w:r w:rsidR="00976E30">
        <w:rPr>
          <w:rFonts w:ascii="Garamond" w:hAnsi="Garamond"/>
          <w:i/>
          <w:iCs/>
        </w:rPr>
        <w:t>június</w:t>
      </w:r>
      <w:r w:rsidRPr="008C27F3">
        <w:rPr>
          <w:rFonts w:ascii="Garamond" w:hAnsi="Garamond"/>
          <w:i/>
          <w:iCs/>
        </w:rPr>
        <w:t xml:space="preserve"> 01. napjával</w:t>
      </w:r>
      <w:r w:rsidR="00EA5C22">
        <w:rPr>
          <w:rFonts w:ascii="Garamond" w:hAnsi="Garamond"/>
          <w:i/>
          <w:iCs/>
        </w:rPr>
        <w:t xml:space="preserve"> </w:t>
      </w:r>
      <w:r w:rsidR="00EA5C22">
        <w:rPr>
          <w:rFonts w:ascii="Garamond" w:hAnsi="Garamond"/>
        </w:rPr>
        <w:t>kezdeményezem.</w:t>
      </w:r>
      <w:r w:rsidR="00CA2420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 A kellő idő rendelkezésre állása</w:t>
      </w:r>
      <w:r w:rsidR="00DC6C8B">
        <w:rPr>
          <w:rFonts w:ascii="Garamond" w:hAnsi="Garamond"/>
        </w:rPr>
        <w:t xml:space="preserve"> biztosított</w:t>
      </w:r>
      <w:r>
        <w:rPr>
          <w:rFonts w:ascii="Garamond" w:hAnsi="Garamond"/>
        </w:rPr>
        <w:t xml:space="preserve"> </w:t>
      </w:r>
      <w:r w:rsidR="00DC6C8B">
        <w:rPr>
          <w:rFonts w:ascii="Garamond" w:hAnsi="Garamond"/>
        </w:rPr>
        <w:t>azáltal, hogy</w:t>
      </w:r>
      <w:r>
        <w:rPr>
          <w:rFonts w:ascii="Garamond" w:hAnsi="Garamond"/>
        </w:rPr>
        <w:t xml:space="preserve"> a rendeletbe foglalt jog érvényesítése nem tartalmaz változást, így nincs szükség felkészülési idő hagyására.</w:t>
      </w:r>
    </w:p>
    <w:p w14:paraId="21202751" w14:textId="0CCD0246" w:rsidR="002B1407" w:rsidRDefault="00EA5C22" w:rsidP="002B1407">
      <w:pPr>
        <w:spacing w:after="0" w:line="240" w:lineRule="auto"/>
        <w:mirrorIndents/>
        <w:jc w:val="center"/>
        <w:rPr>
          <w:rFonts w:ascii="Garamond" w:hAnsi="Garamond"/>
          <w:b/>
          <w:bCs/>
        </w:rPr>
      </w:pPr>
      <w:r w:rsidRPr="00EA5C22">
        <w:rPr>
          <w:rFonts w:ascii="Garamond" w:hAnsi="Garamond"/>
          <w:b/>
          <w:bCs/>
        </w:rPr>
        <w:t>Tisztelt Képviselő-testület!</w:t>
      </w:r>
    </w:p>
    <w:p w14:paraId="2FDCF40C" w14:textId="4A8B482D" w:rsidR="00EA5C22" w:rsidRDefault="00EA5C22" w:rsidP="002B1407">
      <w:pPr>
        <w:spacing w:after="0" w:line="240" w:lineRule="auto"/>
        <w:mirrorIndents/>
        <w:jc w:val="center"/>
        <w:rPr>
          <w:rFonts w:ascii="Garamond" w:hAnsi="Garamond"/>
          <w:b/>
          <w:bCs/>
        </w:rPr>
      </w:pPr>
    </w:p>
    <w:p w14:paraId="6C994ADE" w14:textId="08C9B0A1" w:rsidR="00EA5C22" w:rsidRDefault="00EA5C22" w:rsidP="00EA5C2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16. § szerinti tárgyi rendelet-tervezet, az ahhoz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17. §-a alapján általam elkészített előzetes hatásvizsgálat és a 18. § szerinti általános és részletes indokolás, a Képviselő-testület két Bizottsága előzetes véleményének ismeretében való tárgyalását és változtatás nélküli elfogadásával új önkormányzati rendelet alkotását az SZMSZ eljárásrendje szerint.</w:t>
      </w:r>
    </w:p>
    <w:p w14:paraId="3C89D101" w14:textId="0E23D5E7" w:rsidR="00435C2A" w:rsidRDefault="00435C2A" w:rsidP="00EA5C22">
      <w:pPr>
        <w:jc w:val="both"/>
        <w:rPr>
          <w:rFonts w:ascii="Garamond" w:hAnsi="Garamond"/>
        </w:rPr>
      </w:pPr>
    </w:p>
    <w:p w14:paraId="0FD1BDC9" w14:textId="133CA039" w:rsidR="00435C2A" w:rsidRDefault="00435C2A" w:rsidP="00EA5C22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május 4.</w:t>
      </w:r>
    </w:p>
    <w:p w14:paraId="17DB5558" w14:textId="5465D201" w:rsidR="00435C2A" w:rsidRDefault="00435C2A" w:rsidP="00EA5C22">
      <w:pPr>
        <w:jc w:val="both"/>
        <w:rPr>
          <w:rFonts w:ascii="Garamond" w:hAnsi="Garamond"/>
        </w:rPr>
      </w:pPr>
    </w:p>
    <w:p w14:paraId="613663AD" w14:textId="21C51530" w:rsidR="00435C2A" w:rsidRDefault="00435C2A" w:rsidP="00EA5C2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0CA9A39" w14:textId="178B30A3" w:rsidR="00435C2A" w:rsidRDefault="00435C2A" w:rsidP="00EA5C22">
      <w:pPr>
        <w:jc w:val="both"/>
        <w:rPr>
          <w:rFonts w:ascii="Garamond" w:hAnsi="Garamond"/>
        </w:rPr>
      </w:pPr>
    </w:p>
    <w:p w14:paraId="52FA7321" w14:textId="77777777" w:rsidR="00263380" w:rsidRDefault="00435C2A" w:rsidP="002633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  <w:t>…………………………………</w:t>
      </w:r>
    </w:p>
    <w:p w14:paraId="51D58BF8" w14:textId="7726D42D" w:rsidR="00435C2A" w:rsidRDefault="00263380" w:rsidP="00EA5C2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  <w:r w:rsidR="00435C2A">
        <w:rPr>
          <w:rFonts w:ascii="Garamond" w:hAnsi="Garamond"/>
        </w:rPr>
        <w:tab/>
      </w:r>
      <w:r w:rsidR="00435C2A">
        <w:rPr>
          <w:rFonts w:ascii="Garamond" w:hAnsi="Garamond"/>
        </w:rPr>
        <w:tab/>
      </w:r>
      <w:r w:rsidR="00435C2A">
        <w:rPr>
          <w:rFonts w:ascii="Garamond" w:hAnsi="Garamond"/>
        </w:rPr>
        <w:tab/>
      </w:r>
    </w:p>
    <w:p w14:paraId="4FDA111F" w14:textId="77777777" w:rsidR="00EA5C22" w:rsidRDefault="00EA5C22" w:rsidP="00EA5C22">
      <w:pPr>
        <w:jc w:val="both"/>
        <w:rPr>
          <w:rFonts w:ascii="Garamond" w:hAnsi="Garamond"/>
        </w:rPr>
      </w:pPr>
    </w:p>
    <w:p w14:paraId="7BCFB071" w14:textId="77777777" w:rsidR="00EA5C22" w:rsidRDefault="00EA5C22" w:rsidP="00EA5C2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5C5CBBB1" w14:textId="77777777" w:rsidR="00EA5C22" w:rsidRPr="00EA5C22" w:rsidRDefault="00EA5C22" w:rsidP="00EA5C22">
      <w:pPr>
        <w:spacing w:after="0" w:line="240" w:lineRule="auto"/>
        <w:mirrorIndents/>
        <w:jc w:val="both"/>
        <w:rPr>
          <w:rFonts w:ascii="Garamond" w:hAnsi="Garamond"/>
        </w:rPr>
      </w:pPr>
    </w:p>
    <w:p w14:paraId="7F21BD20" w14:textId="27949D09" w:rsidR="002B1407" w:rsidRPr="002B1407" w:rsidRDefault="002B1407" w:rsidP="002B1407">
      <w:pPr>
        <w:spacing w:after="0" w:line="240" w:lineRule="auto"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18AEB55E" w14:textId="77777777" w:rsidR="001405C5" w:rsidRPr="001405C5" w:rsidRDefault="001405C5" w:rsidP="001405C5">
      <w:pPr>
        <w:spacing w:line="240" w:lineRule="auto"/>
        <w:mirrorIndents/>
        <w:jc w:val="center"/>
        <w:rPr>
          <w:rFonts w:ascii="Garamond" w:hAnsi="Garamond"/>
          <w:b/>
          <w:bCs/>
        </w:rPr>
      </w:pPr>
    </w:p>
    <w:p w14:paraId="593BFF2E" w14:textId="6DB97DA5" w:rsidR="001405C5" w:rsidRDefault="001405C5">
      <w:pPr>
        <w:rPr>
          <w:rFonts w:ascii="Garamond" w:hAnsi="Garamond"/>
        </w:rPr>
      </w:pPr>
    </w:p>
    <w:p w14:paraId="00161F67" w14:textId="77777777" w:rsidR="001405C5" w:rsidRPr="00B43D44" w:rsidRDefault="001405C5">
      <w:pPr>
        <w:rPr>
          <w:rFonts w:ascii="Garamond" w:hAnsi="Garamond"/>
        </w:rPr>
      </w:pPr>
    </w:p>
    <w:sectPr w:rsidR="001405C5" w:rsidRPr="00B43D44" w:rsidSect="00AD7DE9">
      <w:pgSz w:w="11906" w:h="16838"/>
      <w:pgMar w:top="0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014CB"/>
    <w:multiLevelType w:val="hybridMultilevel"/>
    <w:tmpl w:val="FED82852"/>
    <w:lvl w:ilvl="0" w:tplc="45C05E74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741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D44"/>
    <w:rsid w:val="00043A00"/>
    <w:rsid w:val="001044F8"/>
    <w:rsid w:val="00127DB1"/>
    <w:rsid w:val="001405C5"/>
    <w:rsid w:val="001750A3"/>
    <w:rsid w:val="001C5288"/>
    <w:rsid w:val="00227E4B"/>
    <w:rsid w:val="00242864"/>
    <w:rsid w:val="00263380"/>
    <w:rsid w:val="00287904"/>
    <w:rsid w:val="002944CB"/>
    <w:rsid w:val="002B1407"/>
    <w:rsid w:val="002D6FB1"/>
    <w:rsid w:val="003A62BD"/>
    <w:rsid w:val="00400DAA"/>
    <w:rsid w:val="00430E7F"/>
    <w:rsid w:val="00435C2A"/>
    <w:rsid w:val="00450DDD"/>
    <w:rsid w:val="004C0D43"/>
    <w:rsid w:val="00532BE6"/>
    <w:rsid w:val="005406D0"/>
    <w:rsid w:val="00610CCF"/>
    <w:rsid w:val="006435B8"/>
    <w:rsid w:val="00646636"/>
    <w:rsid w:val="00696563"/>
    <w:rsid w:val="006C1C99"/>
    <w:rsid w:val="006D5A20"/>
    <w:rsid w:val="007543FC"/>
    <w:rsid w:val="007872CE"/>
    <w:rsid w:val="007C52A2"/>
    <w:rsid w:val="007D4E26"/>
    <w:rsid w:val="008A448D"/>
    <w:rsid w:val="00976E30"/>
    <w:rsid w:val="009A6894"/>
    <w:rsid w:val="009D5613"/>
    <w:rsid w:val="009E03DA"/>
    <w:rsid w:val="00A742A7"/>
    <w:rsid w:val="00AD7DE9"/>
    <w:rsid w:val="00B43D44"/>
    <w:rsid w:val="00BB5F80"/>
    <w:rsid w:val="00C934A0"/>
    <w:rsid w:val="00CA2420"/>
    <w:rsid w:val="00CD593D"/>
    <w:rsid w:val="00D042F3"/>
    <w:rsid w:val="00D53460"/>
    <w:rsid w:val="00DC6C8B"/>
    <w:rsid w:val="00DD7BA6"/>
    <w:rsid w:val="00EA5C22"/>
    <w:rsid w:val="00E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10A0"/>
  <w15:chartTrackingRefBased/>
  <w15:docId w15:val="{458E63BE-A2CE-4C42-AFD5-E95710D3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4663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64663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42A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46636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46636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EB26A-C621-4F04-B98E-B584D318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1003</Words>
  <Characters>6926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2022-05-05T11:15:00Z</dcterms:created>
  <dcterms:modified xsi:type="dcterms:W3CDTF">2022-06-14T11:58:00Z</dcterms:modified>
</cp:coreProperties>
</file>