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1B37" w14:textId="34C03C09" w:rsidR="00D2126F" w:rsidRDefault="00D2126F" w:rsidP="00D2126F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C92F003" wp14:editId="6EB8707C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F59CC" w14:textId="2658C87F" w:rsidR="00D2126F" w:rsidRDefault="00D2126F" w:rsidP="00D2126F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632495" wp14:editId="3F7C8074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2F00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267F59CC" w14:textId="2658C87F" w:rsidR="00D2126F" w:rsidRDefault="00D2126F" w:rsidP="00D2126F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70632495" wp14:editId="3F7C8074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0E6C72" wp14:editId="36B0D92E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D4FD1" w14:textId="669B560B" w:rsidR="00D2126F" w:rsidRDefault="00D2126F" w:rsidP="00D2126F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F5D9B3" wp14:editId="39E6CEE1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E6C72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08AD4FD1" w14:textId="669B560B" w:rsidR="00D2126F" w:rsidRDefault="00D2126F" w:rsidP="00D2126F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0EF5D9B3" wp14:editId="39E6CEE1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5DEED90" w14:textId="74C6E465" w:rsidR="00D2126F" w:rsidRDefault="00D2126F" w:rsidP="00D2126F">
      <w:pPr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 w:rsidR="00B353AC"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344C8C53" w14:textId="77777777" w:rsidR="00D2126F" w:rsidRDefault="00D2126F" w:rsidP="00D2126F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Email: jegyzo@csanytelek.hu</w:t>
      </w:r>
    </w:p>
    <w:p w14:paraId="77B00BEA" w14:textId="77777777" w:rsidR="00D2126F" w:rsidRDefault="00D2126F" w:rsidP="00D2126F">
      <w:pPr>
        <w:rPr>
          <w:rFonts w:ascii="Times New Roman" w:hAnsi="Times New Roman"/>
          <w:b/>
          <w:sz w:val="24"/>
          <w:szCs w:val="24"/>
        </w:rPr>
      </w:pPr>
    </w:p>
    <w:p w14:paraId="37C5FFF4" w14:textId="06B499C5" w:rsidR="00D2126F" w:rsidRDefault="0008393F" w:rsidP="00D2126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CS/565-2</w:t>
      </w:r>
      <w:r w:rsidR="00D2126F">
        <w:rPr>
          <w:rFonts w:ascii="Garamond" w:hAnsi="Garamond"/>
          <w:sz w:val="22"/>
          <w:szCs w:val="22"/>
        </w:rPr>
        <w:t>/20</w:t>
      </w:r>
      <w:r w:rsidR="00D15870">
        <w:rPr>
          <w:rFonts w:ascii="Garamond" w:hAnsi="Garamond"/>
          <w:sz w:val="22"/>
          <w:szCs w:val="22"/>
        </w:rPr>
        <w:t>22</w:t>
      </w:r>
      <w:r w:rsidR="00D2126F">
        <w:rPr>
          <w:rFonts w:ascii="Garamond" w:hAnsi="Garamond"/>
          <w:sz w:val="22"/>
          <w:szCs w:val="22"/>
        </w:rPr>
        <w:t>.</w:t>
      </w:r>
    </w:p>
    <w:p w14:paraId="41F8F581" w14:textId="77777777" w:rsidR="00D2126F" w:rsidRDefault="00D2126F" w:rsidP="00D2126F">
      <w:pPr>
        <w:rPr>
          <w:rFonts w:ascii="Garamond" w:hAnsi="Garamond"/>
          <w:sz w:val="22"/>
          <w:szCs w:val="22"/>
        </w:rPr>
      </w:pPr>
    </w:p>
    <w:p w14:paraId="06EF22BE" w14:textId="77777777" w:rsidR="00D2126F" w:rsidRDefault="00D2126F" w:rsidP="00D2126F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ELŐZETES   HATÁSVIZSGÁLAT</w:t>
      </w:r>
    </w:p>
    <w:p w14:paraId="1F149470" w14:textId="77777777" w:rsidR="00D2126F" w:rsidRDefault="00D2126F" w:rsidP="00D2126F">
      <w:pPr>
        <w:jc w:val="center"/>
        <w:rPr>
          <w:rFonts w:ascii="Garamond" w:hAnsi="Garamond"/>
          <w:b/>
          <w:sz w:val="22"/>
          <w:szCs w:val="22"/>
        </w:rPr>
      </w:pPr>
    </w:p>
    <w:p w14:paraId="738F561D" w14:textId="77777777" w:rsidR="00D2126F" w:rsidRDefault="00D2126F" w:rsidP="00D2126F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helyi népszavazásról szóló </w:t>
      </w:r>
    </w:p>
    <w:p w14:paraId="5CE79709" w14:textId="77777777" w:rsidR="00D2126F" w:rsidRDefault="00D2126F" w:rsidP="00D2126F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 előterjesztéséhez</w:t>
      </w:r>
    </w:p>
    <w:p w14:paraId="3B9A21E4" w14:textId="77777777" w:rsidR="00D2126F" w:rsidRDefault="00D2126F" w:rsidP="00D2126F">
      <w:pPr>
        <w:jc w:val="center"/>
        <w:rPr>
          <w:rFonts w:ascii="Garamond" w:hAnsi="Garamond"/>
          <w:b/>
          <w:sz w:val="22"/>
          <w:szCs w:val="22"/>
        </w:rPr>
      </w:pPr>
    </w:p>
    <w:p w14:paraId="2312F7B4" w14:textId="02AF3B2D" w:rsidR="00D2126F" w:rsidRDefault="00D2126F" w:rsidP="00D2126F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csatolt jogszabályi tervezet előkészítőjeként a jogalkotásról szóló 2010. évi CXXX. törvény (</w:t>
      </w:r>
      <w:r w:rsidR="006C289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továbbiakban: Jat.) 17. §</w:t>
      </w:r>
      <w:r w:rsidR="006C2895">
        <w:rPr>
          <w:rFonts w:ascii="Garamond" w:hAnsi="Garamond"/>
          <w:sz w:val="22"/>
          <w:szCs w:val="22"/>
        </w:rPr>
        <w:t xml:space="preserve"> és a 17/A. §-ában </w:t>
      </w:r>
      <w:r>
        <w:rPr>
          <w:rFonts w:ascii="Garamond" w:hAnsi="Garamond"/>
          <w:sz w:val="22"/>
          <w:szCs w:val="22"/>
        </w:rPr>
        <w:t xml:space="preserve">írt kötelezettségemnek eleget téve az alábbiakban terjesztem be a </w:t>
      </w:r>
      <w:r>
        <w:rPr>
          <w:rFonts w:ascii="Garamond" w:hAnsi="Garamond"/>
          <w:i/>
          <w:sz w:val="22"/>
          <w:szCs w:val="22"/>
        </w:rPr>
        <w:t xml:space="preserve">tárgyi rendelet-tervezet bevezetésével (általam vélelmezett) várható hatások következményeiről alkotott véleményemet és ajánlom azt a döntést hozók figyelmébe. </w:t>
      </w:r>
    </w:p>
    <w:p w14:paraId="29B57FFF" w14:textId="77777777" w:rsidR="00D2126F" w:rsidRDefault="00D2126F" w:rsidP="00D2126F">
      <w:pPr>
        <w:rPr>
          <w:rFonts w:ascii="Garamond" w:hAnsi="Garamond"/>
          <w:sz w:val="22"/>
          <w:szCs w:val="22"/>
        </w:rPr>
      </w:pPr>
    </w:p>
    <w:p w14:paraId="32FC17AE" w14:textId="77777777" w:rsidR="00D2126F" w:rsidRDefault="00D2126F" w:rsidP="00D2126F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tárgyi önkormányzati rendelet végrehajtása során az érintettekre gyakorolt hatások:</w:t>
      </w:r>
    </w:p>
    <w:p w14:paraId="0C2530FA" w14:textId="77777777" w:rsidR="00D2126F" w:rsidRDefault="00D2126F" w:rsidP="00D2126F">
      <w:pPr>
        <w:rPr>
          <w:rFonts w:ascii="Garamond" w:hAnsi="Garamond"/>
          <w:b/>
          <w:sz w:val="22"/>
          <w:szCs w:val="22"/>
        </w:rPr>
      </w:pPr>
    </w:p>
    <w:p w14:paraId="09D4943B" w14:textId="621D60D3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Magyarország helyi önkormányzatairól szóló 2011. évi CLXXXIX. törvény (</w:t>
      </w:r>
      <w:r w:rsidR="005A0A0B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továbbiakban: Mötv.) 6. § (1) bekezdése többek között arról rendelkezik, hogy az önkormányzat </w:t>
      </w:r>
      <w:r>
        <w:rPr>
          <w:rFonts w:ascii="Garamond" w:hAnsi="Garamond"/>
          <w:i/>
          <w:sz w:val="22"/>
          <w:szCs w:val="22"/>
        </w:rPr>
        <w:t xml:space="preserve">feladatainak ellátása során köteles a helyi közügyekben széles körű állampolgári részvételt biztosítani. </w:t>
      </w:r>
      <w:r>
        <w:rPr>
          <w:rFonts w:ascii="Garamond" w:hAnsi="Garamond"/>
          <w:sz w:val="22"/>
          <w:szCs w:val="22"/>
        </w:rPr>
        <w:t xml:space="preserve">Az Mötv. 4. § szól többek között arról, hogy az önkormányzat </w:t>
      </w:r>
      <w:r>
        <w:rPr>
          <w:rFonts w:ascii="Garamond" w:hAnsi="Garamond"/>
          <w:i/>
          <w:sz w:val="22"/>
          <w:szCs w:val="22"/>
        </w:rPr>
        <w:t xml:space="preserve">a helyi közügyek körében biztosítja a lakossággal való együttműködés szervezeti, személyi és anyagi feltételeit, </w:t>
      </w:r>
      <w:r>
        <w:rPr>
          <w:rFonts w:ascii="Garamond" w:hAnsi="Garamond"/>
          <w:sz w:val="22"/>
          <w:szCs w:val="22"/>
        </w:rPr>
        <w:t>amely az önkormányzás alappilléreként a helyi közügyekbe való lakossági bevonás</w:t>
      </w:r>
      <w:r w:rsidR="004C184F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ként a </w:t>
      </w:r>
      <w:r>
        <w:rPr>
          <w:rFonts w:ascii="Garamond" w:hAnsi="Garamond"/>
          <w:i/>
          <w:sz w:val="22"/>
          <w:szCs w:val="22"/>
        </w:rPr>
        <w:t xml:space="preserve">helyi népszavazást tekinti. </w:t>
      </w:r>
      <w:r>
        <w:rPr>
          <w:rFonts w:ascii="Garamond" w:hAnsi="Garamond"/>
          <w:sz w:val="22"/>
          <w:szCs w:val="22"/>
        </w:rPr>
        <w:t xml:space="preserve"> A helyi népszavazásra irányadó hatályos törvény lehetőséget teremt arra, hogy a településen közügyekben döntést hozó Képviselő-testület egy-egy adott kérdésre vonatkozóan a lakosság érintett közösségének véleményét kinyilváníthassa, mellyel érvényre jut az Mötv. 3. § (4) bekezdésében foglalt jog, miszerint a választópolgárok a helyi népszavazáson történő részvételükkel gyakorolják az önkormányzáshoz való közösségi jogaikat. Ezen jogosítvány gyakorlásához határozta meg a helyi népszavazás kezdeményezésére jogosítottak  %-ban kifejezett számát a Képviselő-testület által kötelezően kiírandó helyi népszavazás feltételeként.</w:t>
      </w:r>
    </w:p>
    <w:p w14:paraId="3B4751C2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3A184D67" w14:textId="19871BCE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népszavazásra feltett kérdéstől függően érinthet a településen gazdasági érdeke</w:t>
      </w:r>
      <w:r w:rsidR="004C184F">
        <w:rPr>
          <w:rFonts w:ascii="Garamond" w:hAnsi="Garamond"/>
          <w:sz w:val="22"/>
          <w:szCs w:val="22"/>
        </w:rPr>
        <w:t xml:space="preserve">t. Erre jó példa </w:t>
      </w:r>
      <w:r>
        <w:rPr>
          <w:rFonts w:ascii="Garamond" w:hAnsi="Garamond"/>
          <w:sz w:val="22"/>
          <w:szCs w:val="22"/>
        </w:rPr>
        <w:t xml:space="preserve">a helyi népszavazás kezdeményezésére </w:t>
      </w:r>
      <w:r w:rsidR="006F275F">
        <w:rPr>
          <w:rFonts w:ascii="Garamond" w:hAnsi="Garamond"/>
          <w:sz w:val="22"/>
          <w:szCs w:val="22"/>
        </w:rPr>
        <w:t>bel-</w:t>
      </w:r>
      <w:r>
        <w:rPr>
          <w:rFonts w:ascii="Garamond" w:hAnsi="Garamond"/>
          <w:sz w:val="22"/>
          <w:szCs w:val="22"/>
        </w:rPr>
        <w:t xml:space="preserve"> és </w:t>
      </w:r>
      <w:r w:rsidR="006F275F">
        <w:rPr>
          <w:rFonts w:ascii="Garamond" w:hAnsi="Garamond"/>
          <w:sz w:val="22"/>
          <w:szCs w:val="22"/>
        </w:rPr>
        <w:t>kü</w:t>
      </w:r>
      <w:r>
        <w:rPr>
          <w:rFonts w:ascii="Garamond" w:hAnsi="Garamond"/>
          <w:sz w:val="22"/>
          <w:szCs w:val="22"/>
        </w:rPr>
        <w:t>lterületen élők esélyegyenlősége biztosítása miatti konfliktus feloldása</w:t>
      </w:r>
      <w:r w:rsidR="006F275F">
        <w:rPr>
          <w:rFonts w:ascii="Garamond" w:hAnsi="Garamond"/>
          <w:sz w:val="22"/>
          <w:szCs w:val="22"/>
        </w:rPr>
        <w:t>.</w:t>
      </w:r>
    </w:p>
    <w:p w14:paraId="515E3EA9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2796B5DC" w14:textId="6118C216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Költségvetési: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népszavazás lebonyolítása költsége</w:t>
      </w:r>
      <w:r w:rsidR="006F275F">
        <w:rPr>
          <w:rFonts w:ascii="Garamond" w:hAnsi="Garamond"/>
          <w:sz w:val="22"/>
          <w:szCs w:val="22"/>
        </w:rPr>
        <w:t xml:space="preserve"> az önkormányzat adott évi költségvetését terhelheti</w:t>
      </w:r>
      <w:r>
        <w:rPr>
          <w:rFonts w:ascii="Garamond" w:hAnsi="Garamond"/>
          <w:sz w:val="22"/>
          <w:szCs w:val="22"/>
        </w:rPr>
        <w:t>, melyet saját forrásból kell biztosítani.</w:t>
      </w:r>
    </w:p>
    <w:p w14:paraId="5BCB71F1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26DF0D29" w14:textId="6383206E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rendeletben foglaltak nem eredeztetnek környezeti hatások</w:t>
      </w:r>
      <w:r w:rsidR="002851F1">
        <w:rPr>
          <w:rFonts w:ascii="Garamond" w:hAnsi="Garamond"/>
          <w:sz w:val="22"/>
          <w:szCs w:val="22"/>
        </w:rPr>
        <w:t>at.</w:t>
      </w:r>
    </w:p>
    <w:p w14:paraId="560892DE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21F73899" w14:textId="4896C618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Egészségi: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rendeletben  nem  kerül sor egészségügyi kérdéskör szabályozására.</w:t>
      </w:r>
    </w:p>
    <w:p w14:paraId="24431947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3D2D8E83" w14:textId="6A49579A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népszavazás lebonyolítása plusz feladatot ró a Helyi Választási Iroda köztisztviselőire.</w:t>
      </w:r>
    </w:p>
    <w:p w14:paraId="17C109A4" w14:textId="77777777" w:rsidR="00D2126F" w:rsidRDefault="00D2126F" w:rsidP="00D2126F">
      <w:pPr>
        <w:ind w:left="3402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639B8815" w14:textId="1B561535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megalkotásának szükségessége: </w:t>
      </w:r>
      <w:r>
        <w:rPr>
          <w:rFonts w:ascii="Garamond" w:hAnsi="Garamond"/>
          <w:sz w:val="22"/>
          <w:szCs w:val="22"/>
        </w:rPr>
        <w:t>a tárgy</w:t>
      </w:r>
      <w:r w:rsidR="00905A0A">
        <w:rPr>
          <w:rFonts w:ascii="Garamond" w:hAnsi="Garamond"/>
          <w:sz w:val="22"/>
          <w:szCs w:val="22"/>
        </w:rPr>
        <w:t>ban meglévő, helyébe lépő új</w:t>
      </w:r>
      <w:r>
        <w:rPr>
          <w:rFonts w:ascii="Garamond" w:hAnsi="Garamond"/>
          <w:sz w:val="22"/>
          <w:szCs w:val="22"/>
        </w:rPr>
        <w:t xml:space="preserve"> önkormányzati rendelet </w:t>
      </w:r>
      <w:r w:rsidR="00564303">
        <w:rPr>
          <w:rFonts w:ascii="Garamond" w:hAnsi="Garamond"/>
          <w:sz w:val="22"/>
          <w:szCs w:val="22"/>
        </w:rPr>
        <w:t>szabályozási körét</w:t>
      </w:r>
      <w:r w:rsidR="00905A0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az Nsztv. szabályai leszűkített</w:t>
      </w:r>
      <w:r w:rsidR="00905A0A">
        <w:rPr>
          <w:rFonts w:ascii="Garamond" w:hAnsi="Garamond"/>
          <w:sz w:val="22"/>
          <w:szCs w:val="22"/>
        </w:rPr>
        <w:t>ék</w:t>
      </w:r>
      <w:r w:rsidR="00564303">
        <w:rPr>
          <w:rFonts w:ascii="Garamond" w:hAnsi="Garamond"/>
          <w:sz w:val="22"/>
          <w:szCs w:val="22"/>
        </w:rPr>
        <w:t xml:space="preserve"> amikor </w:t>
      </w:r>
      <w:r>
        <w:rPr>
          <w:rFonts w:ascii="Garamond" w:hAnsi="Garamond"/>
          <w:sz w:val="22"/>
          <w:szCs w:val="22"/>
        </w:rPr>
        <w:t>felhatalmazást adott, tehát kötelezést mondott ki a tárgyi önkormányzati rendelet megalkotására, melynek végre nem hajtása mulasztásban megnyilvánuló jogsértésnek minősül, amely a</w:t>
      </w:r>
      <w:r w:rsidR="00905A0A">
        <w:rPr>
          <w:rFonts w:ascii="Garamond" w:hAnsi="Garamond"/>
          <w:sz w:val="22"/>
          <w:szCs w:val="22"/>
        </w:rPr>
        <w:t xml:space="preserve"> Csongrád-Csanád Megyei Kormányhivatal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lastRenderedPageBreak/>
        <w:t>Törvényességi Felügyeleti Osztály</w:t>
      </w:r>
      <w:r w:rsidR="00905A0A">
        <w:rPr>
          <w:rFonts w:ascii="Garamond" w:hAnsi="Garamond"/>
          <w:sz w:val="22"/>
          <w:szCs w:val="22"/>
        </w:rPr>
        <w:t>a Vezetője általi</w:t>
      </w:r>
      <w:r>
        <w:rPr>
          <w:rFonts w:ascii="Garamond" w:hAnsi="Garamond"/>
          <w:sz w:val="22"/>
          <w:szCs w:val="22"/>
        </w:rPr>
        <w:t xml:space="preserve"> felügyeleti intézkedését vonhatja maga után. </w:t>
      </w:r>
      <w:r w:rsidR="00564303">
        <w:rPr>
          <w:rFonts w:ascii="Garamond" w:hAnsi="Garamond"/>
          <w:sz w:val="22"/>
          <w:szCs w:val="22"/>
        </w:rPr>
        <w:t xml:space="preserve">A 2015. évben tárgyban kiadott önkormányzati rendelet túlterjeszkedett a felhatalmazáson, ezért annak hatályon kívül helyezésével új önkormányzati rendelet kiadására kerül sor. </w:t>
      </w:r>
      <w:r>
        <w:rPr>
          <w:rFonts w:ascii="Garamond" w:hAnsi="Garamond"/>
          <w:sz w:val="22"/>
          <w:szCs w:val="22"/>
        </w:rPr>
        <w:t>Az önkormányzati rendelet kiadásának elmaradása jogbizonytalanságot eredményez</w:t>
      </w:r>
      <w:r w:rsidR="00905A0A">
        <w:rPr>
          <w:rFonts w:ascii="Garamond" w:hAnsi="Garamond"/>
          <w:sz w:val="22"/>
          <w:szCs w:val="22"/>
        </w:rPr>
        <w:t>ne</w:t>
      </w:r>
      <w:r>
        <w:rPr>
          <w:rFonts w:ascii="Garamond" w:hAnsi="Garamond"/>
          <w:sz w:val="22"/>
          <w:szCs w:val="22"/>
        </w:rPr>
        <w:t>, amely európai uniós jogelveket sért és ellentétes az Alaptörvényben megfogalmazott jogbiztonság követelménye biztosításának alkalmazásával.</w:t>
      </w:r>
    </w:p>
    <w:p w14:paraId="60C06D9C" w14:textId="77777777" w:rsidR="00D2126F" w:rsidRDefault="00D2126F" w:rsidP="00D2126F">
      <w:pPr>
        <w:ind w:left="3402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5139EDA9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 a helyi népszavazás feladata lebonyolításához szükséges személyi, szervezeti, tárgyi és pénzügyi feltételei adottak a Helyi Választási Iroda köztisztviselői alkalmazásával, a hozzá rendelt költségvetési forrásból pedig finanszírozható.</w:t>
      </w:r>
    </w:p>
    <w:p w14:paraId="365F4D21" w14:textId="77777777" w:rsidR="00D2126F" w:rsidRDefault="00D2126F" w:rsidP="00D2126F">
      <w:pPr>
        <w:ind w:left="3402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011EB193" w14:textId="77777777" w:rsidR="00D2126F" w:rsidRDefault="00D2126F" w:rsidP="00D2126F">
      <w:pPr>
        <w:ind w:left="3402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118F0BED" w14:textId="606B2EF1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CC6747">
        <w:rPr>
          <w:rFonts w:ascii="Garamond" w:hAnsi="Garamond"/>
          <w:sz w:val="22"/>
          <w:szCs w:val="22"/>
        </w:rPr>
        <w:t>22</w:t>
      </w:r>
      <w:r>
        <w:rPr>
          <w:rFonts w:ascii="Garamond" w:hAnsi="Garamond"/>
          <w:sz w:val="22"/>
          <w:szCs w:val="22"/>
        </w:rPr>
        <w:t xml:space="preserve">. </w:t>
      </w:r>
      <w:r w:rsidR="00CC6747">
        <w:rPr>
          <w:rFonts w:ascii="Garamond" w:hAnsi="Garamond"/>
          <w:sz w:val="22"/>
          <w:szCs w:val="22"/>
        </w:rPr>
        <w:t>április</w:t>
      </w:r>
      <w:r>
        <w:rPr>
          <w:rFonts w:ascii="Garamond" w:hAnsi="Garamond"/>
          <w:sz w:val="22"/>
          <w:szCs w:val="22"/>
        </w:rPr>
        <w:t xml:space="preserve"> </w:t>
      </w:r>
      <w:r w:rsidR="00CC6747">
        <w:rPr>
          <w:rFonts w:ascii="Garamond" w:hAnsi="Garamond"/>
          <w:sz w:val="22"/>
          <w:szCs w:val="22"/>
        </w:rPr>
        <w:t>19</w:t>
      </w:r>
      <w:r>
        <w:rPr>
          <w:rFonts w:ascii="Garamond" w:hAnsi="Garamond"/>
          <w:sz w:val="22"/>
          <w:szCs w:val="22"/>
        </w:rPr>
        <w:t>.</w:t>
      </w:r>
    </w:p>
    <w:p w14:paraId="37C94D6E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40AC3B22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2A655222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0C0CA078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5B74E552" w14:textId="00451298" w:rsidR="00D2126F" w:rsidRDefault="00CC6747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4E70358" w14:textId="5D7834AA" w:rsidR="00CC6747" w:rsidRDefault="00CC6747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</w:p>
    <w:p w14:paraId="678942FC" w14:textId="00CDC7FA" w:rsidR="00CC6747" w:rsidRDefault="00CC6747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</w:t>
      </w:r>
    </w:p>
    <w:p w14:paraId="2E8E70CD" w14:textId="77777777" w:rsidR="00D2126F" w:rsidRDefault="00D2126F" w:rsidP="00D2126F">
      <w:pPr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  <w:r>
        <w:rPr>
          <w:rFonts w:ascii="Garamond" w:hAnsi="Garamond"/>
          <w:b/>
          <w:i/>
          <w:sz w:val="22"/>
          <w:szCs w:val="22"/>
        </w:rPr>
        <w:tab/>
      </w:r>
    </w:p>
    <w:p w14:paraId="298A4589" w14:textId="77777777" w:rsidR="00D2126F" w:rsidRDefault="00D2126F" w:rsidP="00D2126F"/>
    <w:p w14:paraId="65A99A62" w14:textId="77777777" w:rsidR="005406D0" w:rsidRPr="00D2126F" w:rsidRDefault="005406D0" w:rsidP="00D2126F"/>
    <w:sectPr w:rsidR="005406D0" w:rsidRPr="00D2126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6F"/>
    <w:rsid w:val="0008393F"/>
    <w:rsid w:val="002851F1"/>
    <w:rsid w:val="004C184F"/>
    <w:rsid w:val="005406D0"/>
    <w:rsid w:val="00564303"/>
    <w:rsid w:val="005A0A0B"/>
    <w:rsid w:val="006C2895"/>
    <w:rsid w:val="006F275F"/>
    <w:rsid w:val="007872CE"/>
    <w:rsid w:val="00905A0A"/>
    <w:rsid w:val="00B353AC"/>
    <w:rsid w:val="00CC6747"/>
    <w:rsid w:val="00D15870"/>
    <w:rsid w:val="00D2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2E7C"/>
  <w15:chartTrackingRefBased/>
  <w15:docId w15:val="{AE69AE34-D06C-40B6-8744-3D15505B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126F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D2126F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2126F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2126F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D2126F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2022-04-19T06:21:00Z</dcterms:created>
  <dcterms:modified xsi:type="dcterms:W3CDTF">2022-04-19T11:28:00Z</dcterms:modified>
</cp:coreProperties>
</file>