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0739" w14:textId="5CA2B3B3" w:rsidR="0074625D" w:rsidRPr="00987309" w:rsidRDefault="0074625D" w:rsidP="0074625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D128CB3" wp14:editId="3473E19A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3810" r="254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11C6C" w14:textId="4FD52D6C" w:rsidR="0074625D" w:rsidRDefault="0074625D" w:rsidP="0074625D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119514" wp14:editId="50B1CB68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28CB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34911C6C" w14:textId="4FD52D6C" w:rsidR="0074625D" w:rsidRDefault="0074625D" w:rsidP="0074625D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63119514" wp14:editId="50B1CB68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C7BAE" wp14:editId="3E8209C3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3175" r="4445" b="381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FB2FE" w14:textId="70C3DC68" w:rsidR="0074625D" w:rsidRDefault="0074625D" w:rsidP="0074625D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6D4D00" wp14:editId="4C0ED9BC">
                                  <wp:extent cx="533400" cy="716280"/>
                                  <wp:effectExtent l="0" t="0" r="0" b="762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7BAE"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6F2FB2FE" w14:textId="70C3DC68" w:rsidR="0074625D" w:rsidRDefault="0074625D" w:rsidP="0074625D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F6D4D00" wp14:editId="4C0ED9BC">
                            <wp:extent cx="533400" cy="716280"/>
                            <wp:effectExtent l="0" t="0" r="0" b="762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405B0B7F" w14:textId="77777777" w:rsidR="0074625D" w:rsidRPr="00987309" w:rsidRDefault="0074625D" w:rsidP="0074625D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7FD4CF4A" w14:textId="77777777" w:rsidR="0074625D" w:rsidRPr="00987309" w:rsidRDefault="0074625D" w:rsidP="0074625D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7D37B6C5" w14:textId="77777777" w:rsidR="0052516E" w:rsidRDefault="0052516E" w:rsidP="0052516E">
      <w:pPr>
        <w:rPr>
          <w:rFonts w:ascii="Times New Roman" w:hAnsi="Times New Roman"/>
          <w:sz w:val="24"/>
          <w:szCs w:val="24"/>
        </w:rPr>
      </w:pPr>
    </w:p>
    <w:p w14:paraId="5D6BAFC1" w14:textId="004B6505" w:rsidR="0052516E" w:rsidRDefault="0074625D" w:rsidP="0052516E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CS/ </w:t>
      </w:r>
      <w:r w:rsidR="00BF47D2">
        <w:rPr>
          <w:rFonts w:ascii="Garamond" w:hAnsi="Garamond"/>
          <w:sz w:val="22"/>
          <w:szCs w:val="22"/>
        </w:rPr>
        <w:t>565-</w:t>
      </w:r>
      <w:r w:rsidR="0052516E">
        <w:rPr>
          <w:rFonts w:ascii="Garamond" w:hAnsi="Garamond"/>
          <w:sz w:val="22"/>
          <w:szCs w:val="22"/>
        </w:rPr>
        <w:t>-</w:t>
      </w:r>
      <w:r w:rsidR="0082643A">
        <w:rPr>
          <w:rFonts w:ascii="Garamond" w:hAnsi="Garamond"/>
          <w:sz w:val="22"/>
          <w:szCs w:val="22"/>
        </w:rPr>
        <w:t>1</w:t>
      </w:r>
      <w:r w:rsidR="0052516E">
        <w:rPr>
          <w:rFonts w:ascii="Garamond" w:hAnsi="Garamond"/>
          <w:sz w:val="22"/>
          <w:szCs w:val="22"/>
        </w:rPr>
        <w:t>/20</w:t>
      </w:r>
      <w:r w:rsidR="00BF47D2">
        <w:rPr>
          <w:rFonts w:ascii="Garamond" w:hAnsi="Garamond"/>
          <w:sz w:val="22"/>
          <w:szCs w:val="22"/>
        </w:rPr>
        <w:t>22</w:t>
      </w:r>
      <w:r w:rsidR="0052516E">
        <w:rPr>
          <w:rFonts w:ascii="Garamond" w:hAnsi="Garamond"/>
          <w:sz w:val="22"/>
          <w:szCs w:val="22"/>
        </w:rPr>
        <w:t>.</w:t>
      </w:r>
    </w:p>
    <w:p w14:paraId="074279A0" w14:textId="77777777" w:rsidR="0052516E" w:rsidRDefault="0052516E" w:rsidP="0052516E">
      <w:pPr>
        <w:rPr>
          <w:rFonts w:ascii="Garamond" w:hAnsi="Garamond"/>
          <w:sz w:val="22"/>
          <w:szCs w:val="22"/>
        </w:rPr>
      </w:pPr>
    </w:p>
    <w:p w14:paraId="1C40A1EE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t e r j e s z t é s</w:t>
      </w:r>
    </w:p>
    <w:p w14:paraId="7690E0C7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2F0C30C6" w14:textId="6E5C7AA2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</w:t>
      </w:r>
      <w:r w:rsidR="00BF47D2">
        <w:rPr>
          <w:rFonts w:ascii="Garamond" w:hAnsi="Garamond"/>
          <w:b/>
          <w:sz w:val="22"/>
          <w:szCs w:val="22"/>
        </w:rPr>
        <w:t>22</w:t>
      </w:r>
      <w:r>
        <w:rPr>
          <w:rFonts w:ascii="Garamond" w:hAnsi="Garamond"/>
          <w:b/>
          <w:sz w:val="22"/>
          <w:szCs w:val="22"/>
        </w:rPr>
        <w:t xml:space="preserve">. </w:t>
      </w:r>
      <w:r w:rsidR="00BF47D2">
        <w:rPr>
          <w:rFonts w:ascii="Garamond" w:hAnsi="Garamond"/>
          <w:b/>
          <w:sz w:val="22"/>
          <w:szCs w:val="22"/>
        </w:rPr>
        <w:t>április</w:t>
      </w:r>
      <w:r>
        <w:rPr>
          <w:rFonts w:ascii="Garamond" w:hAnsi="Garamond"/>
          <w:b/>
          <w:sz w:val="22"/>
          <w:szCs w:val="22"/>
        </w:rPr>
        <w:t>i ülésére</w:t>
      </w:r>
    </w:p>
    <w:p w14:paraId="01B7E6CA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</w:p>
    <w:p w14:paraId="4ED3BD88" w14:textId="7B0176D5" w:rsidR="008677D4" w:rsidRDefault="0052516E" w:rsidP="00D13F0F">
      <w:pPr>
        <w:ind w:left="709" w:hanging="709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</w:t>
      </w:r>
      <w:r w:rsidR="008677D4">
        <w:rPr>
          <w:rFonts w:ascii="Garamond" w:hAnsi="Garamond"/>
          <w:i/>
          <w:sz w:val="22"/>
          <w:szCs w:val="22"/>
        </w:rPr>
        <w:t xml:space="preserve">A helyi népszavazásról szóló </w:t>
      </w:r>
      <w:r w:rsidR="008677D4">
        <w:rPr>
          <w:rFonts w:ascii="Garamond" w:hAnsi="Garamond"/>
          <w:i/>
          <w:iCs/>
          <w:sz w:val="22"/>
          <w:szCs w:val="22"/>
        </w:rPr>
        <w:t>11/2015. (XI. 30.) önkormányzati rendelet</w:t>
      </w:r>
      <w:r w:rsidR="008677D4">
        <w:rPr>
          <w:rFonts w:ascii="Garamond" w:hAnsi="Garamond"/>
          <w:i/>
          <w:sz w:val="22"/>
          <w:szCs w:val="22"/>
        </w:rPr>
        <w:t xml:space="preserve"> felülvizsgálatának és  ../2022. (IV. .. .)  </w:t>
      </w:r>
      <w:r w:rsidR="00D13F0F">
        <w:rPr>
          <w:rFonts w:ascii="Garamond" w:hAnsi="Garamond"/>
          <w:i/>
          <w:sz w:val="22"/>
          <w:szCs w:val="22"/>
        </w:rPr>
        <w:t xml:space="preserve">  </w:t>
      </w:r>
      <w:r w:rsidR="008677D4">
        <w:rPr>
          <w:rFonts w:ascii="Garamond" w:hAnsi="Garamond"/>
          <w:i/>
          <w:sz w:val="22"/>
          <w:szCs w:val="22"/>
        </w:rPr>
        <w:t>önkormányzati rendelet  alkotásának  kezdeményezése</w:t>
      </w:r>
    </w:p>
    <w:p w14:paraId="0FAF3B6C" w14:textId="77777777" w:rsidR="0052516E" w:rsidRDefault="0052516E" w:rsidP="0052516E">
      <w:pPr>
        <w:jc w:val="both"/>
        <w:rPr>
          <w:rFonts w:ascii="Garamond" w:hAnsi="Garamond"/>
          <w:i/>
          <w:sz w:val="22"/>
          <w:szCs w:val="22"/>
        </w:rPr>
      </w:pPr>
    </w:p>
    <w:p w14:paraId="50875EE3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Képviselő-testület!</w:t>
      </w:r>
    </w:p>
    <w:p w14:paraId="7450120D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</w:p>
    <w:p w14:paraId="386C9038" w14:textId="77777777" w:rsidR="00BF47D2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 w:rsidR="00BF47D2">
        <w:rPr>
          <w:rFonts w:ascii="Garamond" w:hAnsi="Garamond"/>
          <w:sz w:val="22"/>
          <w:szCs w:val="22"/>
        </w:rPr>
        <w:t>az önkormányzat szervezeti és működési szabályzatáról szóló 14/2015. (XI. 27.) önkormányzati rendelete 19. § (8) bekezdésében szabályozta a</w:t>
      </w:r>
      <w:r>
        <w:rPr>
          <w:rFonts w:ascii="Garamond" w:hAnsi="Garamond"/>
          <w:sz w:val="22"/>
          <w:szCs w:val="22"/>
        </w:rPr>
        <w:t xml:space="preserve"> hatályos önkormányzati rendeletek felülvizsgála</w:t>
      </w:r>
      <w:r w:rsidR="00BF47D2">
        <w:rPr>
          <w:rFonts w:ascii="Garamond" w:hAnsi="Garamond"/>
          <w:sz w:val="22"/>
          <w:szCs w:val="22"/>
        </w:rPr>
        <w:t xml:space="preserve">táról, miszerint az egy folyamat, a jegyző feladatai között, az éves munkatervbe rögzítetten pedig évente egy alkalommal kötelező. </w:t>
      </w:r>
    </w:p>
    <w:p w14:paraId="3ED16E50" w14:textId="45DF3709" w:rsidR="0052516E" w:rsidRDefault="005F1A23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Ennek a folyamatnak része a tárgyi önkormányzati rendelet felülvizsgálatának és </w:t>
      </w:r>
      <w:r w:rsidR="0052516E">
        <w:rPr>
          <w:rFonts w:ascii="Garamond" w:hAnsi="Garamond"/>
          <w:i/>
          <w:sz w:val="22"/>
          <w:szCs w:val="22"/>
        </w:rPr>
        <w:t>új önkormányzati rendelet kiadás</w:t>
      </w:r>
      <w:r>
        <w:rPr>
          <w:rFonts w:ascii="Garamond" w:hAnsi="Garamond"/>
          <w:i/>
          <w:sz w:val="22"/>
          <w:szCs w:val="22"/>
        </w:rPr>
        <w:t xml:space="preserve">ának </w:t>
      </w:r>
      <w:r w:rsidR="004D72FA">
        <w:rPr>
          <w:rFonts w:ascii="Garamond" w:hAnsi="Garamond"/>
          <w:iCs/>
          <w:sz w:val="22"/>
          <w:szCs w:val="22"/>
        </w:rPr>
        <w:t xml:space="preserve">kezdeményezése, </w:t>
      </w:r>
      <w:r w:rsidR="0052516E">
        <w:rPr>
          <w:rFonts w:ascii="Garamond" w:hAnsi="Garamond"/>
          <w:i/>
          <w:sz w:val="22"/>
          <w:szCs w:val="22"/>
        </w:rPr>
        <w:t xml:space="preserve"> </w:t>
      </w:r>
      <w:r w:rsidR="0052516E">
        <w:rPr>
          <w:rFonts w:ascii="Garamond" w:hAnsi="Garamond"/>
          <w:sz w:val="22"/>
          <w:szCs w:val="22"/>
        </w:rPr>
        <w:t>mely</w:t>
      </w:r>
      <w:r w:rsidR="004D72FA">
        <w:rPr>
          <w:rFonts w:ascii="Garamond" w:hAnsi="Garamond"/>
          <w:sz w:val="22"/>
          <w:szCs w:val="22"/>
        </w:rPr>
        <w:t xml:space="preserve">et a fenti rendelet 19. § (1) bekezdés d) pontja szerinti jogalapon </w:t>
      </w:r>
      <w:r w:rsidR="0052516E">
        <w:rPr>
          <w:rFonts w:ascii="Garamond" w:hAnsi="Garamond"/>
          <w:sz w:val="22"/>
          <w:szCs w:val="22"/>
        </w:rPr>
        <w:t>terjesztem elő tárgyi rendelet-tervezetet</w:t>
      </w:r>
      <w:r w:rsidR="004D72FA">
        <w:rPr>
          <w:rFonts w:ascii="Garamond" w:hAnsi="Garamond"/>
          <w:sz w:val="22"/>
          <w:szCs w:val="22"/>
        </w:rPr>
        <w:t>.</w:t>
      </w:r>
    </w:p>
    <w:p w14:paraId="1F4F26C5" w14:textId="18005BED" w:rsidR="003B3786" w:rsidRDefault="003B3786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Befolyásolta a felülvizs</w:t>
      </w:r>
      <w:r w:rsidR="00C92787">
        <w:rPr>
          <w:rFonts w:ascii="Garamond" w:hAnsi="Garamond"/>
          <w:sz w:val="22"/>
          <w:szCs w:val="22"/>
        </w:rPr>
        <w:t>gálat időzítését a Csongrád-Csanád Megyei Kormányhivatal Törvényességi Felügyeleti Osztálya Vezetője szakmai állásfoglalása, miszerint a tárgyi hatályos önkormányzati rendelet túlterjeszkedett a felhatalmazást adó törvénybe foglalt</w:t>
      </w:r>
      <w:r w:rsidR="00F37905">
        <w:rPr>
          <w:rFonts w:ascii="Garamond" w:hAnsi="Garamond"/>
          <w:sz w:val="22"/>
          <w:szCs w:val="22"/>
        </w:rPr>
        <w:t xml:space="preserve"> jogalkotási jogkörén akkor, amikor nem csak a népszavazásra jogosított választópolgárok számát, hanem körét is rögzítette, pedig azt a törvény szabályozza. Amit a törvény leszabályoz, annak önkormányzati rendeletben való megismétlése felesleges jogalkotás, az kerülendő, ezért annak hatályon kívül helyezése indokolt.</w:t>
      </w:r>
    </w:p>
    <w:p w14:paraId="60D34E5D" w14:textId="3CD2FCBD" w:rsidR="00F37905" w:rsidRDefault="004A30CB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alábbiakban azon jogszabályhelyeket ismertetem, amelyek </w:t>
      </w:r>
      <w:r w:rsidR="009E7EFC">
        <w:rPr>
          <w:rFonts w:ascii="Garamond" w:hAnsi="Garamond"/>
          <w:sz w:val="22"/>
          <w:szCs w:val="22"/>
        </w:rPr>
        <w:t>ráhatással vannak</w:t>
      </w:r>
      <w:r>
        <w:rPr>
          <w:rFonts w:ascii="Garamond" w:hAnsi="Garamond"/>
          <w:sz w:val="22"/>
          <w:szCs w:val="22"/>
        </w:rPr>
        <w:t xml:space="preserve"> a tárgyi önkormányzati rendelet alkotására.</w:t>
      </w:r>
    </w:p>
    <w:p w14:paraId="0381DAFE" w14:textId="5700954A" w:rsidR="0052516E" w:rsidRDefault="0052516E" w:rsidP="0052516E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népszavazás kezdeményezéséről, az európai polgári kezdeményezésről, valamint a népszavazási eljárásról szóló 2013. évi CCXXXVIII. törvény (</w:t>
      </w:r>
      <w:r w:rsidR="00F3790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továbbiakban: Nsztv.) III. Fejezetében rögzíti – többek között -  </w:t>
      </w:r>
      <w:r>
        <w:rPr>
          <w:rFonts w:ascii="Garamond" w:hAnsi="Garamond"/>
          <w:i/>
          <w:sz w:val="22"/>
          <w:szCs w:val="22"/>
        </w:rPr>
        <w:t xml:space="preserve">a helyi népszavazás kezdeményezésére, </w:t>
      </w:r>
      <w:r>
        <w:rPr>
          <w:rFonts w:ascii="Garamond" w:hAnsi="Garamond"/>
          <w:sz w:val="22"/>
          <w:szCs w:val="22"/>
        </w:rPr>
        <w:t xml:space="preserve">a IV. Fejezetében pedig </w:t>
      </w:r>
      <w:r>
        <w:rPr>
          <w:rFonts w:ascii="Garamond" w:hAnsi="Garamond"/>
          <w:i/>
          <w:sz w:val="22"/>
          <w:szCs w:val="22"/>
        </w:rPr>
        <w:t xml:space="preserve">a helyi népszavazási eljárásra </w:t>
      </w:r>
      <w:r>
        <w:rPr>
          <w:rFonts w:ascii="Garamond" w:hAnsi="Garamond"/>
          <w:sz w:val="22"/>
          <w:szCs w:val="22"/>
        </w:rPr>
        <w:t xml:space="preserve"> vonatkozó szabályokat. Az Nsztv. </w:t>
      </w:r>
      <w:r>
        <w:rPr>
          <w:rFonts w:ascii="Garamond" w:hAnsi="Garamond"/>
          <w:i/>
          <w:sz w:val="22"/>
          <w:szCs w:val="22"/>
        </w:rPr>
        <w:t>megszüntette a</w:t>
      </w:r>
      <w:r w:rsidR="00F37905">
        <w:rPr>
          <w:rFonts w:ascii="Garamond" w:hAnsi="Garamond"/>
          <w:i/>
          <w:sz w:val="22"/>
          <w:szCs w:val="22"/>
        </w:rPr>
        <w:t xml:space="preserve"> korábbi</w:t>
      </w:r>
      <w:r>
        <w:rPr>
          <w:rFonts w:ascii="Garamond" w:hAnsi="Garamond"/>
          <w:i/>
          <w:sz w:val="22"/>
          <w:szCs w:val="22"/>
        </w:rPr>
        <w:t xml:space="preserve"> népi kezdeményezés jogintézményét. </w:t>
      </w:r>
    </w:p>
    <w:p w14:paraId="4A13BCB0" w14:textId="47AF27AF" w:rsidR="0052516E" w:rsidRPr="002B107B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</w:t>
      </w:r>
      <w:r w:rsidR="00F37905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Nsztv. </w:t>
      </w:r>
      <w:r>
        <w:rPr>
          <w:rFonts w:ascii="Garamond" w:hAnsi="Garamond"/>
          <w:i/>
          <w:sz w:val="22"/>
          <w:szCs w:val="22"/>
        </w:rPr>
        <w:t xml:space="preserve"> a helyi népszavazás kezdeményezéséhez szükséges választópolgárok számának meghatározására szűkítette</w:t>
      </w:r>
      <w:r w:rsidR="004A30CB">
        <w:rPr>
          <w:rFonts w:ascii="Garamond" w:hAnsi="Garamond"/>
          <w:i/>
          <w:sz w:val="22"/>
          <w:szCs w:val="22"/>
        </w:rPr>
        <w:t xml:space="preserve"> a</w:t>
      </w:r>
      <w:r w:rsidR="00A730CB">
        <w:rPr>
          <w:rFonts w:ascii="Garamond" w:hAnsi="Garamond"/>
          <w:i/>
          <w:sz w:val="22"/>
          <w:szCs w:val="22"/>
        </w:rPr>
        <w:t xml:space="preserve"> jogalkotás lehetőségét</w:t>
      </w:r>
      <w:r w:rsidR="004A30CB">
        <w:rPr>
          <w:rFonts w:ascii="Garamond" w:hAnsi="Garamond"/>
          <w:i/>
          <w:sz w:val="22"/>
          <w:szCs w:val="22"/>
        </w:rPr>
        <w:t xml:space="preserve"> amikor a</w:t>
      </w:r>
      <w:r w:rsidR="00A730CB">
        <w:rPr>
          <w:rFonts w:ascii="Garamond" w:hAnsi="Garamond"/>
          <w:i/>
          <w:sz w:val="22"/>
          <w:szCs w:val="22"/>
        </w:rPr>
        <w:t xml:space="preserve"> 92. §-ába foglalva </w:t>
      </w:r>
      <w:r w:rsidR="002B107B">
        <w:rPr>
          <w:rFonts w:ascii="Garamond" w:hAnsi="Garamond"/>
          <w:i/>
          <w:sz w:val="22"/>
          <w:szCs w:val="22"/>
        </w:rPr>
        <w:t xml:space="preserve"> felhatalmazást adott önkormányzati rendelet kiadására.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   </w:t>
      </w:r>
    </w:p>
    <w:p w14:paraId="723A9A3B" w14:textId="67F44D36" w:rsidR="0052516E" w:rsidRDefault="0052516E" w:rsidP="0052516E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Nsztv. 34. § (1) bekezdése c) pontja értelmében </w:t>
      </w:r>
      <w:r>
        <w:rPr>
          <w:rFonts w:ascii="Garamond" w:hAnsi="Garamond"/>
          <w:i/>
          <w:sz w:val="22"/>
          <w:szCs w:val="22"/>
        </w:rPr>
        <w:t>helyi népszavazást kezdeményezhet az önkormányzati rendeletben meghatározott számú választópolgár, a</w:t>
      </w:r>
      <w:r w:rsidR="00A730CB">
        <w:rPr>
          <w:rFonts w:ascii="Garamond" w:hAnsi="Garamond"/>
          <w:i/>
          <w:sz w:val="22"/>
          <w:szCs w:val="22"/>
        </w:rPr>
        <w:t>k</w:t>
      </w:r>
      <w:r>
        <w:rPr>
          <w:rFonts w:ascii="Garamond" w:hAnsi="Garamond"/>
          <w:i/>
          <w:sz w:val="22"/>
          <w:szCs w:val="22"/>
        </w:rPr>
        <w:t>i</w:t>
      </w:r>
      <w:r w:rsidR="00A730CB">
        <w:rPr>
          <w:rFonts w:ascii="Garamond" w:hAnsi="Garamond"/>
          <w:i/>
          <w:sz w:val="22"/>
          <w:szCs w:val="22"/>
        </w:rPr>
        <w:t>nek a száma</w:t>
      </w:r>
      <w:r>
        <w:rPr>
          <w:rFonts w:ascii="Garamond" w:hAnsi="Garamond"/>
          <w:i/>
          <w:sz w:val="22"/>
          <w:szCs w:val="22"/>
        </w:rPr>
        <w:t xml:space="preserve"> nem lehet kevesebb a választópolgárok 10 %-ánál és nem lehet több a választópolgárok 25 %-ánál.</w:t>
      </w:r>
    </w:p>
    <w:p w14:paraId="2243061B" w14:textId="54702BA9" w:rsidR="00DC597C" w:rsidRPr="00DC597C" w:rsidRDefault="00DC597C" w:rsidP="0052516E">
      <w:pPr>
        <w:jc w:val="both"/>
        <w:rPr>
          <w:rFonts w:ascii="Garamond" w:hAnsi="Garamond"/>
          <w:i/>
          <w:sz w:val="22"/>
          <w:szCs w:val="22"/>
        </w:rPr>
      </w:pPr>
      <w:r w:rsidRPr="00DC597C">
        <w:rPr>
          <w:rFonts w:ascii="Garamond" w:hAnsi="Garamond"/>
          <w:iCs/>
          <w:sz w:val="22"/>
          <w:szCs w:val="22"/>
        </w:rPr>
        <w:t>Nsztv. 34. § (2)</w:t>
      </w:r>
      <w:r>
        <w:rPr>
          <w:rFonts w:ascii="Garamond" w:hAnsi="Garamond"/>
          <w:iCs/>
          <w:sz w:val="22"/>
          <w:szCs w:val="22"/>
        </w:rPr>
        <w:t xml:space="preserve"> bekezdése értelmében </w:t>
      </w:r>
      <w:r>
        <w:rPr>
          <w:rFonts w:ascii="Garamond" w:hAnsi="Garamond"/>
          <w:i/>
          <w:sz w:val="22"/>
          <w:szCs w:val="22"/>
        </w:rPr>
        <w:t>a képviselő-testület köteles elrendelni a helyi népszavazást ha azt az önkormányzat rendeletében meghatározott számú választópolgára kezdeményezte.</w:t>
      </w:r>
    </w:p>
    <w:p w14:paraId="061B6D5A" w14:textId="28E45E6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Nsztv. 33. §-a akként rendelkezik, hogy a </w:t>
      </w:r>
      <w:r>
        <w:rPr>
          <w:rFonts w:ascii="Garamond" w:hAnsi="Garamond"/>
          <w:i/>
          <w:sz w:val="22"/>
          <w:szCs w:val="22"/>
        </w:rPr>
        <w:t>Képviselő-testület köteles a helyi népszavazás kiírását elrendelni abban az esetben, ha azt törvény, vagy önkormányzati rendelet írja elő.</w:t>
      </w:r>
      <w:r>
        <w:rPr>
          <w:rFonts w:ascii="Garamond" w:hAnsi="Garamond"/>
          <w:sz w:val="22"/>
          <w:szCs w:val="22"/>
        </w:rPr>
        <w:t xml:space="preserve">  </w:t>
      </w:r>
    </w:p>
    <w:p w14:paraId="321AACCA" w14:textId="5C065003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Alaptörvény 32. cikk (</w:t>
      </w:r>
      <w:r w:rsidR="002B107B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 xml:space="preserve">) bekezdése </w:t>
      </w:r>
      <w:r w:rsidR="002B107B">
        <w:rPr>
          <w:rFonts w:ascii="Garamond" w:hAnsi="Garamond"/>
          <w:sz w:val="22"/>
          <w:szCs w:val="22"/>
        </w:rPr>
        <w:t xml:space="preserve">a) pontja </w:t>
      </w:r>
      <w:r>
        <w:rPr>
          <w:rFonts w:ascii="Garamond" w:hAnsi="Garamond"/>
          <w:sz w:val="22"/>
          <w:szCs w:val="22"/>
        </w:rPr>
        <w:t xml:space="preserve">rögzíti, hogy </w:t>
      </w:r>
      <w:r>
        <w:rPr>
          <w:rFonts w:ascii="Garamond" w:hAnsi="Garamond"/>
          <w:i/>
          <w:sz w:val="22"/>
          <w:szCs w:val="22"/>
        </w:rPr>
        <w:t>a</w:t>
      </w:r>
      <w:r w:rsidR="002B107B">
        <w:rPr>
          <w:rFonts w:ascii="Garamond" w:hAnsi="Garamond"/>
          <w:i/>
          <w:sz w:val="22"/>
          <w:szCs w:val="22"/>
        </w:rPr>
        <w:t xml:space="preserve"> képviselő-testület</w:t>
      </w:r>
      <w:r>
        <w:rPr>
          <w:rFonts w:ascii="Garamond" w:hAnsi="Garamond"/>
          <w:i/>
          <w:sz w:val="22"/>
          <w:szCs w:val="22"/>
        </w:rPr>
        <w:t xml:space="preserve"> törvény felhatalmazása alapján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i/>
          <w:sz w:val="22"/>
          <w:szCs w:val="22"/>
        </w:rPr>
        <w:t>rendeletet alkot</w:t>
      </w:r>
      <w:r>
        <w:rPr>
          <w:rFonts w:ascii="Garamond" w:hAnsi="Garamond"/>
          <w:sz w:val="22"/>
          <w:szCs w:val="22"/>
        </w:rPr>
        <w:t>, amely a (3) bekezdés értelmében más jogszabállyal nem lehet ellentétes.</w:t>
      </w:r>
    </w:p>
    <w:p w14:paraId="370D9D8A" w14:textId="79385E93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jogalkotásról szóló 2010. évi CXXX. törvény (Jat.) 5. § (</w:t>
      </w:r>
      <w:r w:rsidR="00873237">
        <w:rPr>
          <w:rFonts w:ascii="Garamond" w:hAnsi="Garamond"/>
          <w:sz w:val="22"/>
          <w:szCs w:val="22"/>
        </w:rPr>
        <w:t>8</w:t>
      </w:r>
      <w:r>
        <w:rPr>
          <w:rFonts w:ascii="Garamond" w:hAnsi="Garamond"/>
          <w:sz w:val="22"/>
          <w:szCs w:val="22"/>
        </w:rPr>
        <w:t xml:space="preserve">) bekezdése kimondja, hogy </w:t>
      </w:r>
      <w:r>
        <w:rPr>
          <w:rFonts w:ascii="Garamond" w:hAnsi="Garamond"/>
          <w:i/>
          <w:sz w:val="22"/>
          <w:szCs w:val="22"/>
        </w:rPr>
        <w:t xml:space="preserve">a felhatalmazás jogosultja köteles </w:t>
      </w:r>
      <w:r w:rsidR="002B107B">
        <w:rPr>
          <w:rFonts w:ascii="Garamond" w:hAnsi="Garamond"/>
          <w:i/>
          <w:sz w:val="22"/>
          <w:szCs w:val="22"/>
        </w:rPr>
        <w:t xml:space="preserve"> </w:t>
      </w:r>
      <w:r w:rsidR="00873237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a jogszabályt megalkotni.</w:t>
      </w:r>
      <w:r>
        <w:rPr>
          <w:rFonts w:ascii="Garamond" w:hAnsi="Garamond"/>
          <w:sz w:val="22"/>
          <w:szCs w:val="22"/>
        </w:rPr>
        <w:t xml:space="preserve">   </w:t>
      </w:r>
    </w:p>
    <w:p w14:paraId="2061898E" w14:textId="6D450CA7" w:rsidR="0052516E" w:rsidRDefault="0052516E" w:rsidP="0052516E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Magyarország helyi önkormányzatairól szóló 2011. évi CLXXXIX. törvény (Mötv.) 3. § (4) bekezdése akként rendelkezik, hogy </w:t>
      </w:r>
      <w:r>
        <w:rPr>
          <w:rFonts w:ascii="Garamond" w:hAnsi="Garamond"/>
          <w:i/>
          <w:sz w:val="22"/>
          <w:szCs w:val="22"/>
        </w:rPr>
        <w:t xml:space="preserve">a választópolgárok választott képviselőik útján és a helyi népszavazáson történő részvételükkel gyakorolják az önkormányzáshoz való közösségi jogaikat. </w:t>
      </w:r>
      <w:r>
        <w:rPr>
          <w:rFonts w:ascii="Garamond" w:hAnsi="Garamond"/>
          <w:sz w:val="22"/>
          <w:szCs w:val="22"/>
        </w:rPr>
        <w:t xml:space="preserve">A  4. §-a értelmében a </w:t>
      </w:r>
      <w:r>
        <w:rPr>
          <w:rFonts w:ascii="Garamond" w:hAnsi="Garamond"/>
          <w:i/>
          <w:sz w:val="22"/>
          <w:szCs w:val="22"/>
        </w:rPr>
        <w:t xml:space="preserve"> helyi közügyek </w:t>
      </w:r>
      <w:r>
        <w:rPr>
          <w:rFonts w:ascii="Garamond" w:hAnsi="Garamond"/>
          <w:sz w:val="22"/>
          <w:szCs w:val="22"/>
        </w:rPr>
        <w:t xml:space="preserve"> körébe alapvetően a </w:t>
      </w:r>
      <w:r>
        <w:rPr>
          <w:rFonts w:ascii="Garamond" w:hAnsi="Garamond"/>
          <w:i/>
          <w:sz w:val="22"/>
          <w:szCs w:val="22"/>
        </w:rPr>
        <w:t xml:space="preserve">lakosság közszolgáltatásokkal való ellátása, valamint a helyi önkormányzás és a lakossággal való együttműködés szervezeti, személyi és anyagi feltételeinek megteremtése kapcsolódik, </w:t>
      </w:r>
      <w:r>
        <w:rPr>
          <w:rFonts w:ascii="Garamond" w:hAnsi="Garamond"/>
          <w:sz w:val="22"/>
          <w:szCs w:val="22"/>
        </w:rPr>
        <w:t xml:space="preserve">továbbá a 6. § (1) bekezdése rögzíti, hogy a </w:t>
      </w:r>
      <w:r>
        <w:rPr>
          <w:rFonts w:ascii="Garamond" w:hAnsi="Garamond"/>
          <w:i/>
          <w:sz w:val="22"/>
          <w:szCs w:val="22"/>
        </w:rPr>
        <w:t xml:space="preserve">helyi önkormányzat biztosítja a helyi közügyekben a lakosság széles körű állampolgári részvételének lehetőségét. </w:t>
      </w:r>
    </w:p>
    <w:p w14:paraId="58E6DEEE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140F9464" w14:textId="1F1CD0A7" w:rsidR="0052516E" w:rsidRP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fenti jogszabályi rendelkezésekre való hivatkozással – az</w:t>
      </w:r>
      <w:r w:rsidR="004C1C67">
        <w:rPr>
          <w:rFonts w:ascii="Garamond" w:hAnsi="Garamond"/>
          <w:sz w:val="22"/>
          <w:szCs w:val="22"/>
        </w:rPr>
        <w:t xml:space="preserve"> SZMSZ 23. § (4) b) pontja szerint véleményt formálni jogosított</w:t>
      </w:r>
      <w:r>
        <w:rPr>
          <w:rFonts w:ascii="Garamond" w:hAnsi="Garamond"/>
          <w:sz w:val="22"/>
          <w:szCs w:val="22"/>
        </w:rPr>
        <w:t xml:space="preserve"> Ügyrendi Bizottság </w:t>
      </w:r>
      <w:r w:rsidR="004C1C67">
        <w:rPr>
          <w:rFonts w:ascii="Garamond" w:hAnsi="Garamond"/>
          <w:sz w:val="22"/>
          <w:szCs w:val="22"/>
        </w:rPr>
        <w:t xml:space="preserve">előzetes </w:t>
      </w:r>
      <w:r>
        <w:rPr>
          <w:rFonts w:ascii="Garamond" w:hAnsi="Garamond"/>
          <w:sz w:val="22"/>
          <w:szCs w:val="22"/>
        </w:rPr>
        <w:t>véleményének kikérésével – kezdeményezem, hogy a Képviselő-testület önkormányzati rendeletében:</w:t>
      </w:r>
    </w:p>
    <w:p w14:paraId="34BC8F74" w14:textId="77777777" w:rsidR="0052516E" w:rsidRDefault="0052516E" w:rsidP="0052516E">
      <w:pPr>
        <w:jc w:val="both"/>
        <w:rPr>
          <w:rFonts w:ascii="Garamond" w:hAnsi="Garamond"/>
          <w:i/>
          <w:sz w:val="22"/>
          <w:szCs w:val="22"/>
        </w:rPr>
      </w:pPr>
    </w:p>
    <w:p w14:paraId="7448E330" w14:textId="7773EE5A" w:rsidR="0052516E" w:rsidRDefault="004C1C67" w:rsidP="0052516E">
      <w:pPr>
        <w:numPr>
          <w:ilvl w:val="0"/>
          <w:numId w:val="1"/>
        </w:num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„</w:t>
      </w:r>
      <w:r w:rsidR="0052516E">
        <w:rPr>
          <w:rFonts w:ascii="Garamond" w:hAnsi="Garamond"/>
          <w:sz w:val="22"/>
          <w:szCs w:val="22"/>
        </w:rPr>
        <w:t>a Képviselő-testület</w:t>
      </w:r>
      <w:r w:rsidR="00E87FC1">
        <w:rPr>
          <w:rFonts w:ascii="Garamond" w:hAnsi="Garamond"/>
          <w:sz w:val="22"/>
          <w:szCs w:val="22"/>
        </w:rPr>
        <w:t xml:space="preserve"> köteles a helyi népszavazás</w:t>
      </w:r>
      <w:r w:rsidR="00CC767B">
        <w:rPr>
          <w:rFonts w:ascii="Garamond" w:hAnsi="Garamond"/>
          <w:sz w:val="22"/>
          <w:szCs w:val="22"/>
        </w:rPr>
        <w:t>t</w:t>
      </w:r>
      <w:r w:rsidR="00E87FC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elrendel</w:t>
      </w:r>
      <w:r w:rsidR="00CC767B">
        <w:rPr>
          <w:rFonts w:ascii="Garamond" w:hAnsi="Garamond"/>
          <w:sz w:val="22"/>
          <w:szCs w:val="22"/>
        </w:rPr>
        <w:t>ni</w:t>
      </w:r>
      <w:r w:rsidR="0052516E">
        <w:rPr>
          <w:rFonts w:ascii="Garamond" w:hAnsi="Garamond"/>
          <w:sz w:val="22"/>
          <w:szCs w:val="22"/>
        </w:rPr>
        <w:t>, ha azt a település választópolgárainak legalább 20 %-a kezdeményezte</w:t>
      </w:r>
      <w:r>
        <w:rPr>
          <w:rFonts w:ascii="Garamond" w:hAnsi="Garamond"/>
          <w:sz w:val="22"/>
          <w:szCs w:val="22"/>
        </w:rPr>
        <w:t>”</w:t>
      </w:r>
    </w:p>
    <w:p w14:paraId="2B40B05C" w14:textId="0C3540FE" w:rsidR="0052516E" w:rsidRDefault="00E87FC1" w:rsidP="0052516E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tartalommal adja ki rendeletét.</w:t>
      </w:r>
    </w:p>
    <w:p w14:paraId="720B149B" w14:textId="2E227153" w:rsidR="004C1C67" w:rsidRDefault="004C1C67" w:rsidP="0052516E">
      <w:pPr>
        <w:jc w:val="both"/>
        <w:rPr>
          <w:rFonts w:ascii="Garamond" w:hAnsi="Garamond"/>
          <w:bCs/>
          <w:sz w:val="22"/>
          <w:szCs w:val="22"/>
        </w:rPr>
      </w:pPr>
    </w:p>
    <w:p w14:paraId="120F03E9" w14:textId="2F1F560F" w:rsidR="004C1C67" w:rsidRPr="004C1C67" w:rsidRDefault="004C1C67" w:rsidP="005E5D11">
      <w:pPr>
        <w:ind w:right="1"/>
        <w:contextualSpacing/>
        <w:jc w:val="both"/>
        <w:rPr>
          <w:rFonts w:ascii="Garamond" w:hAnsi="Garamond"/>
          <w:sz w:val="22"/>
          <w:szCs w:val="22"/>
        </w:rPr>
      </w:pPr>
      <w:r w:rsidRPr="004C1C67">
        <w:rPr>
          <w:rFonts w:ascii="Garamond" w:hAnsi="Garamond"/>
          <w:sz w:val="22"/>
          <w:szCs w:val="22"/>
        </w:rPr>
        <w:t xml:space="preserve">A hatályos SZMSZ 19. § (5)-(6) bekezdésében írt jegyzői kötelezettségemnek és a település lakossága számára nyújtott tájékoztatási feladatnak is  eleget-téve rögzítem, hogy a tárgyi önkormányzati rendelet-tervezet szövegének kifüggesztése a hivatal hirdetőtábláján 2022. </w:t>
      </w:r>
      <w:r>
        <w:rPr>
          <w:rFonts w:ascii="Garamond" w:hAnsi="Garamond"/>
          <w:sz w:val="22"/>
          <w:szCs w:val="22"/>
        </w:rPr>
        <w:t>április</w:t>
      </w:r>
      <w:r w:rsidRPr="004C1C67">
        <w:rPr>
          <w:rFonts w:ascii="Garamond" w:hAnsi="Garamond"/>
          <w:sz w:val="22"/>
          <w:szCs w:val="22"/>
        </w:rPr>
        <w:t xml:space="preserve"> 1</w:t>
      </w:r>
      <w:r>
        <w:rPr>
          <w:rFonts w:ascii="Garamond" w:hAnsi="Garamond"/>
          <w:sz w:val="22"/>
          <w:szCs w:val="22"/>
        </w:rPr>
        <w:t>3</w:t>
      </w:r>
      <w:r w:rsidRPr="004C1C67">
        <w:rPr>
          <w:rFonts w:ascii="Garamond" w:hAnsi="Garamond"/>
          <w:sz w:val="22"/>
          <w:szCs w:val="22"/>
        </w:rPr>
        <w:t xml:space="preserve">. napján  megtörtént és az 5 napos lakossági véleményezési határidő letelte után  megállapítottam, hogy a tárgyi önkormányzati rendelet-tervezethez </w:t>
      </w:r>
      <w:r w:rsidRPr="004C1C67">
        <w:rPr>
          <w:rFonts w:ascii="Garamond" w:hAnsi="Garamond"/>
          <w:i/>
          <w:sz w:val="22"/>
          <w:szCs w:val="22"/>
        </w:rPr>
        <w:t xml:space="preserve">a lakosság köréből nem érkezett javaslat. </w:t>
      </w:r>
    </w:p>
    <w:p w14:paraId="7A625018" w14:textId="042585A0" w:rsidR="004C1C67" w:rsidRPr="00D450EF" w:rsidRDefault="004C1C67" w:rsidP="004C1C67">
      <w:pPr>
        <w:jc w:val="both"/>
        <w:rPr>
          <w:rFonts w:ascii="Garamond" w:hAnsi="Garamond"/>
          <w:bCs/>
          <w:sz w:val="22"/>
          <w:szCs w:val="22"/>
        </w:rPr>
      </w:pPr>
      <w:r w:rsidRPr="008C27F3">
        <w:rPr>
          <w:rFonts w:ascii="Garamond" w:hAnsi="Garamond"/>
          <w:sz w:val="22"/>
          <w:szCs w:val="22"/>
        </w:rPr>
        <w:t xml:space="preserve">A fentiekre alapozva kezdeményezem az </w:t>
      </w:r>
      <w:r w:rsidRPr="008C27F3">
        <w:rPr>
          <w:rFonts w:ascii="Garamond" w:hAnsi="Garamond"/>
          <w:i/>
          <w:iCs/>
          <w:sz w:val="22"/>
          <w:szCs w:val="22"/>
        </w:rPr>
        <w:t xml:space="preserve">önkormányzati rendelet hatályba léptetését annak kihirdetését követően, 2022. </w:t>
      </w:r>
      <w:r w:rsidR="00D450EF">
        <w:rPr>
          <w:rFonts w:ascii="Garamond" w:hAnsi="Garamond"/>
          <w:i/>
          <w:iCs/>
          <w:sz w:val="22"/>
          <w:szCs w:val="22"/>
        </w:rPr>
        <w:t>május</w:t>
      </w:r>
      <w:r w:rsidRPr="008C27F3">
        <w:rPr>
          <w:rFonts w:ascii="Garamond" w:hAnsi="Garamond"/>
          <w:i/>
          <w:iCs/>
          <w:sz w:val="22"/>
          <w:szCs w:val="22"/>
        </w:rPr>
        <w:t xml:space="preserve"> 01. napjával</w:t>
      </w:r>
      <w:r w:rsidR="00333C2B">
        <w:rPr>
          <w:rFonts w:ascii="Garamond" w:hAnsi="Garamond"/>
          <w:i/>
          <w:iCs/>
          <w:sz w:val="22"/>
          <w:szCs w:val="22"/>
        </w:rPr>
        <w:t xml:space="preserve"> hatályba léptetni.</w:t>
      </w:r>
      <w:r>
        <w:rPr>
          <w:rFonts w:ascii="Garamond" w:hAnsi="Garamond"/>
          <w:i/>
          <w:iCs/>
        </w:rPr>
        <w:t>.</w:t>
      </w:r>
      <w:r>
        <w:rPr>
          <w:rFonts w:ascii="Garamond" w:hAnsi="Garamond"/>
        </w:rPr>
        <w:t xml:space="preserve"> </w:t>
      </w:r>
      <w:r w:rsidR="00D450EF">
        <w:rPr>
          <w:rFonts w:ascii="Garamond" w:hAnsi="Garamond"/>
        </w:rPr>
        <w:t xml:space="preserve"> </w:t>
      </w:r>
      <w:r w:rsidR="00F56E8D">
        <w:rPr>
          <w:rFonts w:ascii="Garamond" w:hAnsi="Garamond"/>
          <w:sz w:val="22"/>
          <w:szCs w:val="22"/>
        </w:rPr>
        <w:t>A kellő idő rendelkezésre állása fogalma betakarja a rövid határidőt, mert a rendeletbe foglalt jog érvényesítése nem tartalmaz változást, így nincs szükség felkészülési idő hagyására.</w:t>
      </w:r>
    </w:p>
    <w:p w14:paraId="6BBA8014" w14:textId="4A329028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További rendeleti szabályozásra nincs lehetőség, mert az eljárási szabályokat az Nyszt. rögzíti, ezért annak megismétlése a Jat. rendelkezésébe ütközne, továbbá felhatalmazás nélküli jogalkotást eredményezne, ami a törvényességi felügyeleti  intézkedésre  adna okot. </w:t>
      </w:r>
    </w:p>
    <w:p w14:paraId="6CD0641E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119DBF9F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Képviselő-testület!</w:t>
      </w:r>
    </w:p>
    <w:p w14:paraId="6BCCFFD1" w14:textId="77777777" w:rsidR="0052516E" w:rsidRDefault="0052516E" w:rsidP="0052516E">
      <w:pPr>
        <w:jc w:val="center"/>
        <w:rPr>
          <w:rFonts w:ascii="Garamond" w:hAnsi="Garamond"/>
          <w:b/>
          <w:sz w:val="22"/>
          <w:szCs w:val="22"/>
        </w:rPr>
      </w:pPr>
    </w:p>
    <w:p w14:paraId="327ED296" w14:textId="05C7AB1D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Indítványozom </w:t>
      </w:r>
      <w:r w:rsidR="008D4436">
        <w:rPr>
          <w:rFonts w:ascii="Garamond" w:hAnsi="Garamond"/>
          <w:sz w:val="22"/>
          <w:szCs w:val="22"/>
        </w:rPr>
        <w:t xml:space="preserve">a Jat. 16. § szerinti </w:t>
      </w:r>
      <w:r>
        <w:rPr>
          <w:rFonts w:ascii="Garamond" w:hAnsi="Garamond"/>
          <w:sz w:val="22"/>
          <w:szCs w:val="22"/>
        </w:rPr>
        <w:t>tárgyi rendelet-tervezet, az ahhoz a Jat. 1</w:t>
      </w:r>
      <w:r w:rsidR="00A65B87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. §-a alapján általam elkészített</w:t>
      </w:r>
      <w:r w:rsidR="00C5475B">
        <w:rPr>
          <w:rFonts w:ascii="Garamond" w:hAnsi="Garamond"/>
          <w:sz w:val="22"/>
          <w:szCs w:val="22"/>
        </w:rPr>
        <w:t xml:space="preserve"> előzetes</w:t>
      </w:r>
      <w:r>
        <w:rPr>
          <w:rFonts w:ascii="Garamond" w:hAnsi="Garamond"/>
          <w:sz w:val="22"/>
          <w:szCs w:val="22"/>
        </w:rPr>
        <w:t xml:space="preserve"> hatásvizsgálat és a 1</w:t>
      </w:r>
      <w:r w:rsidR="00A65B87">
        <w:rPr>
          <w:rFonts w:ascii="Garamond" w:hAnsi="Garamond"/>
          <w:sz w:val="22"/>
          <w:szCs w:val="22"/>
        </w:rPr>
        <w:t>8</w:t>
      </w:r>
      <w:r>
        <w:rPr>
          <w:rFonts w:ascii="Garamond" w:hAnsi="Garamond"/>
          <w:sz w:val="22"/>
          <w:szCs w:val="22"/>
        </w:rPr>
        <w:t xml:space="preserve">. § szerinti </w:t>
      </w:r>
      <w:r w:rsidR="00C5475B">
        <w:rPr>
          <w:rFonts w:ascii="Garamond" w:hAnsi="Garamond"/>
          <w:sz w:val="22"/>
          <w:szCs w:val="22"/>
        </w:rPr>
        <w:t xml:space="preserve">általános és részletes </w:t>
      </w:r>
      <w:r>
        <w:rPr>
          <w:rFonts w:ascii="Garamond" w:hAnsi="Garamond"/>
          <w:sz w:val="22"/>
          <w:szCs w:val="22"/>
        </w:rPr>
        <w:t>indokolás, az Ügyrendi Bizottság előzetes véleményének ismeretében való tárgyalását és változtatás nélküli elfogadásával új önkormányzati rendelet alkotását</w:t>
      </w:r>
      <w:r w:rsidR="00C5475B">
        <w:rPr>
          <w:rFonts w:ascii="Garamond" w:hAnsi="Garamond"/>
          <w:sz w:val="22"/>
          <w:szCs w:val="22"/>
        </w:rPr>
        <w:t xml:space="preserve"> és a hatályos önkormányzati rendelet hatályon kívül helyezését</w:t>
      </w:r>
      <w:r w:rsidR="006300F6">
        <w:rPr>
          <w:rFonts w:ascii="Garamond" w:hAnsi="Garamond"/>
          <w:sz w:val="22"/>
          <w:szCs w:val="22"/>
        </w:rPr>
        <w:t xml:space="preserve"> az önkormányzat szervezeti és működési szabályzatáról szóló 14/2015. (XI. 27.) önkormányzati rendelet </w:t>
      </w:r>
      <w:r w:rsidR="00842D78">
        <w:rPr>
          <w:rFonts w:ascii="Garamond" w:hAnsi="Garamond"/>
          <w:sz w:val="22"/>
          <w:szCs w:val="22"/>
        </w:rPr>
        <w:t>eljárásrendje szerint.</w:t>
      </w:r>
    </w:p>
    <w:p w14:paraId="4661A06E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2A5470EE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047D338E" w14:textId="15E9098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április 19.</w:t>
      </w:r>
    </w:p>
    <w:p w14:paraId="522F80F0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0372536E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53F74713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506E92DF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3D054F3A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0FBD3239" w14:textId="643A3A58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683C797D" w14:textId="77777777" w:rsidR="0052516E" w:rsidRDefault="0052516E" w:rsidP="0052516E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730DA6DE" w14:textId="77777777" w:rsidR="0052516E" w:rsidRDefault="0052516E" w:rsidP="0052516E">
      <w:pPr>
        <w:jc w:val="both"/>
        <w:rPr>
          <w:rFonts w:ascii="Garamond" w:hAnsi="Garamond"/>
          <w:sz w:val="22"/>
          <w:szCs w:val="22"/>
        </w:rPr>
      </w:pPr>
    </w:p>
    <w:p w14:paraId="6DC79984" w14:textId="77777777" w:rsidR="0052516E" w:rsidRDefault="0052516E" w:rsidP="0052516E">
      <w:pPr>
        <w:rPr>
          <w:rFonts w:ascii="Garamond" w:hAnsi="Garamond"/>
          <w:sz w:val="22"/>
          <w:szCs w:val="22"/>
        </w:rPr>
      </w:pPr>
    </w:p>
    <w:p w14:paraId="4802F42E" w14:textId="77777777" w:rsidR="005406D0" w:rsidRPr="0052516E" w:rsidRDefault="005406D0" w:rsidP="0052516E"/>
    <w:sectPr w:rsidR="005406D0" w:rsidRPr="0052516E" w:rsidSect="00BF2CC2">
      <w:pgSz w:w="11906" w:h="16838"/>
      <w:pgMar w:top="1276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845F3"/>
    <w:multiLevelType w:val="hybridMultilevel"/>
    <w:tmpl w:val="B0C044BA"/>
    <w:lvl w:ilvl="0" w:tplc="6C86E2EA"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5BC219F"/>
    <w:multiLevelType w:val="hybridMultilevel"/>
    <w:tmpl w:val="6DA0FAC2"/>
    <w:lvl w:ilvl="0" w:tplc="F138A988">
      <w:start w:val="1"/>
      <w:numFmt w:val="lowerLetter"/>
      <w:lvlText w:val="%1)"/>
      <w:lvlJc w:val="left"/>
      <w:pPr>
        <w:ind w:left="1065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03427881">
    <w:abstractNumId w:val="0"/>
  </w:num>
  <w:num w:numId="2" w16cid:durableId="485319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6E"/>
    <w:rsid w:val="002B107B"/>
    <w:rsid w:val="00333C2B"/>
    <w:rsid w:val="003B3786"/>
    <w:rsid w:val="004A30CB"/>
    <w:rsid w:val="004C1C67"/>
    <w:rsid w:val="004D72FA"/>
    <w:rsid w:val="0052516E"/>
    <w:rsid w:val="005406D0"/>
    <w:rsid w:val="005E5D11"/>
    <w:rsid w:val="005F1A23"/>
    <w:rsid w:val="00616B23"/>
    <w:rsid w:val="006300F6"/>
    <w:rsid w:val="0074625D"/>
    <w:rsid w:val="007872CE"/>
    <w:rsid w:val="0082643A"/>
    <w:rsid w:val="00842D78"/>
    <w:rsid w:val="008677D4"/>
    <w:rsid w:val="00873237"/>
    <w:rsid w:val="008C27F3"/>
    <w:rsid w:val="008D4436"/>
    <w:rsid w:val="009E7EFC"/>
    <w:rsid w:val="00A65B87"/>
    <w:rsid w:val="00A730CB"/>
    <w:rsid w:val="00BF2CC2"/>
    <w:rsid w:val="00BF47D2"/>
    <w:rsid w:val="00C5475B"/>
    <w:rsid w:val="00C92787"/>
    <w:rsid w:val="00CC767B"/>
    <w:rsid w:val="00D13F0F"/>
    <w:rsid w:val="00D450EF"/>
    <w:rsid w:val="00DC40DC"/>
    <w:rsid w:val="00DC597C"/>
    <w:rsid w:val="00E87FC1"/>
    <w:rsid w:val="00F37905"/>
    <w:rsid w:val="00F5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4660"/>
  <w15:chartTrackingRefBased/>
  <w15:docId w15:val="{AD8B08D2-704D-4DC6-A989-79C289B6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516E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52516E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2516E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251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2516E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789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2022-04-19T09:43:00Z</dcterms:created>
  <dcterms:modified xsi:type="dcterms:W3CDTF">2022-05-05T09:56:00Z</dcterms:modified>
</cp:coreProperties>
</file>