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4BC7E" w14:textId="77777777" w:rsidR="005E7C27" w:rsidRDefault="005E7C27" w:rsidP="005E7C27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6E79EC0" wp14:editId="2EC22F40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635" t="0" r="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E9F721" w14:textId="77777777" w:rsidR="005E7C27" w:rsidRDefault="005E7C27" w:rsidP="005E7C27">
                            <w:r>
                              <w:rPr>
                                <w:rFonts w:ascii="Calibri" w:eastAsia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9F2FFF" wp14:editId="4D011BD5">
                                  <wp:extent cx="447040" cy="762000"/>
                                  <wp:effectExtent l="0" t="0" r="0" b="0"/>
                                  <wp:docPr id="3" name="Kép 3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79EC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MC6HA/eAAAACQEAAA8AAABkcnMvZG93bnJldi54&#10;bWxMj0FOwzAQRfdI3MEaJDaotVPatA1xKkACsW3pASbxNImIx1HsNuntcVew/Jqn/9/ku8l24kKD&#10;bx1rSOYKBHHlTMu1huP3x2wDwgdkg51j0nAlD7vi/i7HzLiR93Q5hFrEEvYZamhC6DMpfdWQRT93&#10;PXG8ndxgMcQ41NIMOMZy28mFUqm02HJcaLCn94aqn8PZajh9jU+r7Vh+huN6v0zfsF2X7qr148P0&#10;+gIi0BT+YLjpR3UoolPpzmy86GJOI6hhlqhNAuIGqMUSRKnhebUFWeTy/wfFLw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DAuhwP3gAAAAkBAAAPAAAAAAAAAAAAAAAAAEkEAABkcnMv&#10;ZG93bnJldi54bWxQSwUGAAAAAAQABADzAAAAVAUAAAAA&#10;" o:allowincell="f" stroked="f">
                <v:textbox>
                  <w:txbxContent>
                    <w:p w14:paraId="69E9F721" w14:textId="77777777" w:rsidR="005E7C27" w:rsidRDefault="005E7C27" w:rsidP="005E7C27">
                      <w:r>
                        <w:rPr>
                          <w:rFonts w:ascii="Calibri" w:eastAsia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439F2FFF" wp14:editId="4D011BD5">
                            <wp:extent cx="447040" cy="762000"/>
                            <wp:effectExtent l="0" t="0" r="0" b="0"/>
                            <wp:docPr id="3" name="Kép 3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B7BB2" wp14:editId="69E54682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381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59E2F" w14:textId="77777777" w:rsidR="005E7C27" w:rsidRDefault="005E7C27" w:rsidP="005E7C27">
                            <w:r>
                              <w:rPr>
                                <w:rFonts w:ascii="Calibri" w:eastAsia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010484D" wp14:editId="6BB28BA9">
                                  <wp:extent cx="533400" cy="716280"/>
                                  <wp:effectExtent l="0" t="0" r="0" b="762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B7BB2" id="Szövegdoboz 2" o:spid="_x0000_s1027" type="#_x0000_t202" style="position:absolute;left:0;text-align:left;margin-left:400.8pt;margin-top:-42.1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7euP7fAAAACgEAAA8AAABkcnMvZG93&#10;bnJldi54bWxMj8FOg0AQhu8mvsNmTLyYdqEiUGRp1ETjtbUPMLBTILK7hN0W+vaOJz3OzJd/vr/c&#10;LWYQF5p876yCeB2BINs43dtWwfHrfZWD8AGtxsFZUnAlD7vq9qbEQrvZ7ulyCK3gEOsLVNCFMBZS&#10;+qYjg37tRrJ8O7nJYOBxaqWecOZwM8hNFKXSYG/5Q4cjvXXUfB/ORsHpc3542s71Rzhm+yR9xT6r&#10;3VWp+7vl5RlEoCX8wfCrz+pQsVPtzlZ7MSjIozhlVMEqTzYgmNjGKW9qBcljBrIq5f8K1Q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t64/t8AAAAKAQAADwAAAAAAAAAAAAAAAABP&#10;BAAAZHJzL2Rvd25yZXYueG1sUEsFBgAAAAAEAAQA8wAAAFsFAAAAAA==&#10;" stroked="f">
                <v:textbox>
                  <w:txbxContent>
                    <w:p w14:paraId="3E959E2F" w14:textId="77777777" w:rsidR="005E7C27" w:rsidRDefault="005E7C27" w:rsidP="005E7C27">
                      <w:r>
                        <w:rPr>
                          <w:rFonts w:ascii="Calibri" w:eastAsia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6010484D" wp14:editId="6BB28BA9">
                            <wp:extent cx="533400" cy="716280"/>
                            <wp:effectExtent l="0" t="0" r="0" b="762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39E00F68" w14:textId="77777777" w:rsidR="005E7C27" w:rsidRDefault="005E7C27" w:rsidP="005E7C27">
      <w:pPr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>
        <w:rPr>
          <w:rFonts w:ascii="Monotype Corsiva" w:hAnsi="Monotype Corsiva"/>
          <w:b/>
          <w:i/>
          <w:sz w:val="28"/>
          <w:szCs w:val="28"/>
        </w:rPr>
        <w:t xml:space="preserve"> János tér 2.</w:t>
      </w:r>
    </w:p>
    <w:p w14:paraId="63BBD641" w14:textId="77777777" w:rsidR="005E7C27" w:rsidRDefault="005E7C27" w:rsidP="005E7C27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sym w:font="Webdings" w:char="F0C9"/>
      </w:r>
      <w:r>
        <w:rPr>
          <w:rFonts w:ascii="Monotype Corsiva" w:hAnsi="Monotype Corsiva"/>
          <w:b/>
          <w:i/>
          <w:sz w:val="28"/>
          <w:szCs w:val="28"/>
        </w:rPr>
        <w:t>: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Email: jegyzo@csanytelek.hu</w:t>
      </w:r>
    </w:p>
    <w:p w14:paraId="381774C6" w14:textId="77777777" w:rsidR="005E7C27" w:rsidRPr="005E7C27" w:rsidRDefault="005E7C27" w:rsidP="005E7C27">
      <w:pPr>
        <w:rPr>
          <w:rFonts w:ascii="Garamond" w:hAnsi="Garamond"/>
          <w:b/>
          <w:sz w:val="22"/>
          <w:szCs w:val="22"/>
        </w:rPr>
      </w:pPr>
    </w:p>
    <w:p w14:paraId="150C5A20" w14:textId="0434B77A" w:rsidR="005E7C27" w:rsidRPr="005E7C27" w:rsidRDefault="005E7C27" w:rsidP="005E7C27">
      <w:pPr>
        <w:pStyle w:val="Cmsor1"/>
        <w:jc w:val="both"/>
        <w:rPr>
          <w:rFonts w:ascii="Garamond" w:hAnsi="Garamond"/>
          <w:bCs/>
          <w:iCs/>
          <w:szCs w:val="22"/>
        </w:rPr>
      </w:pPr>
      <w:r>
        <w:rPr>
          <w:rFonts w:ascii="Garamond" w:hAnsi="Garamond"/>
          <w:bCs/>
          <w:iCs/>
          <w:szCs w:val="22"/>
        </w:rPr>
        <w:t>CS/</w:t>
      </w:r>
      <w:r w:rsidR="00653CAA">
        <w:rPr>
          <w:rFonts w:ascii="Garamond" w:hAnsi="Garamond"/>
          <w:bCs/>
          <w:iCs/>
          <w:szCs w:val="22"/>
        </w:rPr>
        <w:t>545-3</w:t>
      </w:r>
      <w:r>
        <w:rPr>
          <w:rFonts w:ascii="Garamond" w:hAnsi="Garamond"/>
          <w:bCs/>
          <w:iCs/>
          <w:szCs w:val="22"/>
        </w:rPr>
        <w:t>/2022.</w:t>
      </w:r>
    </w:p>
    <w:p w14:paraId="5689CBAC" w14:textId="77777777" w:rsidR="005E7C27" w:rsidRDefault="005E7C27" w:rsidP="005E7C27">
      <w:pPr>
        <w:pStyle w:val="Cmsor1"/>
        <w:rPr>
          <w:rFonts w:ascii="Monotype Corsiva" w:hAnsi="Monotype Corsiva"/>
          <w:b/>
          <w:i/>
          <w:sz w:val="28"/>
          <w:szCs w:val="28"/>
        </w:rPr>
      </w:pPr>
    </w:p>
    <w:p w14:paraId="69204892" w14:textId="77777777" w:rsidR="005E7C27" w:rsidRDefault="005E7C27" w:rsidP="005E7C2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 i n d o k o l á s</w:t>
      </w:r>
    </w:p>
    <w:p w14:paraId="168D0A38" w14:textId="21E37D38" w:rsidR="005E7C27" w:rsidRDefault="005E7C27" w:rsidP="005E7C27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helyi népszavazásról </w:t>
      </w:r>
      <w:r>
        <w:rPr>
          <w:rFonts w:ascii="Garamond" w:hAnsi="Garamond"/>
          <w:sz w:val="22"/>
          <w:szCs w:val="22"/>
        </w:rPr>
        <w:t>szóló önkormányzati rendelet-tervezethez</w:t>
      </w:r>
    </w:p>
    <w:p w14:paraId="3BCDBF84" w14:textId="77777777" w:rsidR="005E7C27" w:rsidRDefault="005E7C27" w:rsidP="005E7C27">
      <w:pPr>
        <w:jc w:val="both"/>
        <w:rPr>
          <w:rFonts w:ascii="Garamond" w:hAnsi="Garamond"/>
          <w:sz w:val="22"/>
          <w:szCs w:val="22"/>
        </w:rPr>
      </w:pPr>
    </w:p>
    <w:p w14:paraId="47CE5C98" w14:textId="77777777" w:rsidR="0034313D" w:rsidRDefault="005E7C27" w:rsidP="005E7C27">
      <w:pPr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határozathozatal nélkül elfogadta a tárgyi önkormányzati rendelet alkotására általam tett </w:t>
      </w:r>
      <w:proofErr w:type="gramStart"/>
      <w:r>
        <w:rPr>
          <w:rFonts w:ascii="Garamond" w:hAnsi="Garamond"/>
          <w:sz w:val="22"/>
          <w:szCs w:val="22"/>
        </w:rPr>
        <w:t>javaslatot,  melyet</w:t>
      </w:r>
      <w:proofErr w:type="gramEnd"/>
      <w:r>
        <w:rPr>
          <w:rFonts w:ascii="Garamond" w:hAnsi="Garamond"/>
          <w:sz w:val="22"/>
          <w:szCs w:val="22"/>
        </w:rPr>
        <w:t xml:space="preserve">  az önkormányzat szervezeti és működési szabályzatáról szóló 14/2015. (XI. 27.) önkormányzati rendelet 19. § (8) bekezdése rendelkezés</w:t>
      </w:r>
      <w:r w:rsidR="00563EC7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 kötelezi a jegyzőt minden évben (munkaterv szerint) a hatályos önkormányzati rendeletek felülvizsgálatára</w:t>
      </w:r>
      <w:r w:rsidR="00563EC7">
        <w:rPr>
          <w:rFonts w:ascii="Garamond" w:hAnsi="Garamond"/>
          <w:sz w:val="22"/>
          <w:szCs w:val="22"/>
        </w:rPr>
        <w:t>, melynek</w:t>
      </w:r>
      <w:r>
        <w:rPr>
          <w:rFonts w:ascii="Garamond" w:hAnsi="Garamond"/>
          <w:sz w:val="22"/>
          <w:szCs w:val="22"/>
        </w:rPr>
        <w:t xml:space="preserve"> </w:t>
      </w:r>
      <w:r w:rsidR="00563EC7">
        <w:rPr>
          <w:rFonts w:ascii="Garamond" w:hAnsi="Garamond"/>
          <w:sz w:val="22"/>
          <w:szCs w:val="22"/>
        </w:rPr>
        <w:t>a hatályos rendelet helyébe lépő</w:t>
      </w:r>
      <w:r w:rsidR="00563EC7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új</w:t>
      </w:r>
      <w:r w:rsidR="00563EC7">
        <w:rPr>
          <w:rFonts w:ascii="Garamond" w:hAnsi="Garamond"/>
          <w:i/>
          <w:sz w:val="22"/>
          <w:szCs w:val="22"/>
        </w:rPr>
        <w:t xml:space="preserve"> önkormányzati</w:t>
      </w:r>
      <w:r>
        <w:rPr>
          <w:rFonts w:ascii="Garamond" w:hAnsi="Garamond"/>
          <w:i/>
          <w:sz w:val="22"/>
          <w:szCs w:val="22"/>
        </w:rPr>
        <w:t xml:space="preserve"> rendelet alkotásának</w:t>
      </w:r>
      <w:r w:rsidR="00563EC7">
        <w:rPr>
          <w:rFonts w:ascii="Garamond" w:hAnsi="Garamond"/>
          <w:i/>
          <w:sz w:val="22"/>
          <w:szCs w:val="22"/>
        </w:rPr>
        <w:t xml:space="preserve"> kezdeményezésével </w:t>
      </w:r>
      <w:r w:rsidR="00563EC7">
        <w:rPr>
          <w:rFonts w:ascii="Garamond" w:hAnsi="Garamond"/>
          <w:iCs/>
          <w:sz w:val="22"/>
          <w:szCs w:val="22"/>
        </w:rPr>
        <w:t xml:space="preserve">teszek eleget. Befolyásolta a tárgyi önkormányzati rendeletre vonatkozóan a Csongrád – Csanád Megyei Kormányhivatal </w:t>
      </w:r>
      <w:r w:rsidR="0052098D">
        <w:rPr>
          <w:rFonts w:ascii="Garamond" w:hAnsi="Garamond"/>
          <w:iCs/>
          <w:sz w:val="22"/>
          <w:szCs w:val="22"/>
        </w:rPr>
        <w:t xml:space="preserve">Törvényességi Felügyeleti Osztálya Vezetője által kiadott szakmai állásfoglalás, amely a tárgyi rendelet túlszabályozása, a felhatalmazáson túlnyúló rendelkezéssel tett eleget a rendelet alkotásának, melynek felülvizsgálatára tett javaslatot. </w:t>
      </w:r>
    </w:p>
    <w:p w14:paraId="4043F74B" w14:textId="77777777" w:rsidR="00D9032C" w:rsidRDefault="0034313D" w:rsidP="005E7C27">
      <w:pPr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Az indokolásnak a </w:t>
      </w:r>
      <w:proofErr w:type="spellStart"/>
      <w:r>
        <w:rPr>
          <w:rFonts w:ascii="Garamond" w:hAnsi="Garamond"/>
          <w:iCs/>
          <w:sz w:val="22"/>
          <w:szCs w:val="22"/>
        </w:rPr>
        <w:t>Jat</w:t>
      </w:r>
      <w:proofErr w:type="spellEnd"/>
      <w:r>
        <w:rPr>
          <w:rFonts w:ascii="Garamond" w:hAnsi="Garamond"/>
          <w:iCs/>
          <w:sz w:val="22"/>
          <w:szCs w:val="22"/>
        </w:rPr>
        <w:t>. 18. §-a értelmében be kell mutatni azokat a társadalmi, gazdasági, szakmai</w:t>
      </w:r>
      <w:r w:rsidR="00D9032C">
        <w:rPr>
          <w:rFonts w:ascii="Garamond" w:hAnsi="Garamond"/>
          <w:iCs/>
          <w:sz w:val="22"/>
          <w:szCs w:val="22"/>
        </w:rPr>
        <w:t xml:space="preserve"> okokat és célokat, amelyek az adott szabályozás kiadását szükségessé teszik, valamint fontos kitétel az indokolás közzétételéről alkotott jegyzői vélemény nyilvánosságra hozatala.</w:t>
      </w:r>
    </w:p>
    <w:p w14:paraId="35181F21" w14:textId="58B562CF" w:rsidR="002F692C" w:rsidRDefault="00D9032C" w:rsidP="005E7C27">
      <w:pPr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</w:t>
      </w:r>
      <w:r w:rsidR="002F692C">
        <w:rPr>
          <w:rFonts w:ascii="Garamond" w:hAnsi="Garamond"/>
          <w:iCs/>
          <w:sz w:val="22"/>
          <w:szCs w:val="22"/>
        </w:rPr>
        <w:t xml:space="preserve">(a továbbiakban: IM rendelet) </w:t>
      </w:r>
      <w:r>
        <w:rPr>
          <w:rFonts w:ascii="Garamond" w:hAnsi="Garamond"/>
          <w:iCs/>
          <w:sz w:val="22"/>
          <w:szCs w:val="22"/>
        </w:rPr>
        <w:t>20. §-a értelmében, az adott jogszabály tervezetéhez tartozó indokolást</w:t>
      </w:r>
      <w:r w:rsidR="00E55278">
        <w:rPr>
          <w:rFonts w:ascii="Garamond" w:hAnsi="Garamond"/>
          <w:iCs/>
          <w:sz w:val="22"/>
          <w:szCs w:val="22"/>
        </w:rPr>
        <w:t xml:space="preserve"> – a kivételektől eltekintve – </w:t>
      </w:r>
      <w:r w:rsidR="002F692C">
        <w:rPr>
          <w:rFonts w:ascii="Garamond" w:hAnsi="Garamond"/>
          <w:iCs/>
          <w:sz w:val="22"/>
          <w:szCs w:val="22"/>
        </w:rPr>
        <w:t xml:space="preserve">a jogszabály kihirdetését követően </w:t>
      </w:r>
      <w:r w:rsidR="00E55278">
        <w:rPr>
          <w:rFonts w:ascii="Garamond" w:hAnsi="Garamond"/>
          <w:iCs/>
          <w:sz w:val="22"/>
          <w:szCs w:val="22"/>
        </w:rPr>
        <w:t>közzé kell tenni</w:t>
      </w:r>
      <w:r w:rsidR="002F692C">
        <w:rPr>
          <w:rFonts w:ascii="Garamond" w:hAnsi="Garamond"/>
          <w:iCs/>
          <w:sz w:val="22"/>
          <w:szCs w:val="22"/>
        </w:rPr>
        <w:t xml:space="preserve"> a Nemzeti Jogszabálytárban.</w:t>
      </w:r>
    </w:p>
    <w:p w14:paraId="419C7FEF" w14:textId="2470068A" w:rsidR="002F692C" w:rsidRPr="00EA1206" w:rsidRDefault="002F692C" w:rsidP="005E7C27">
      <w:pPr>
        <w:jc w:val="both"/>
        <w:rPr>
          <w:rFonts w:ascii="Garamond" w:hAnsi="Garamond"/>
          <w:b/>
          <w:bCs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Az IM rendelet 21. § a) pontja értelmében abban az esetben, amkor az adott jogszabályban jelentős társadalmi, gazdasági, költségvetési hatása, </w:t>
      </w:r>
      <w:r w:rsidR="000F5104">
        <w:rPr>
          <w:rFonts w:ascii="Garamond" w:hAnsi="Garamond"/>
          <w:iCs/>
          <w:sz w:val="22"/>
          <w:szCs w:val="22"/>
        </w:rPr>
        <w:t>környezeti és egészségi következménye, adminisztratív terhe</w:t>
      </w:r>
      <w:r w:rsidR="00F0292B">
        <w:rPr>
          <w:rFonts w:ascii="Garamond" w:hAnsi="Garamond"/>
          <w:iCs/>
          <w:sz w:val="22"/>
          <w:szCs w:val="22"/>
        </w:rPr>
        <w:t>t</w:t>
      </w:r>
      <w:r w:rsidR="000F5104">
        <w:rPr>
          <w:rFonts w:ascii="Garamond" w:hAnsi="Garamond"/>
          <w:iCs/>
          <w:sz w:val="22"/>
          <w:szCs w:val="22"/>
        </w:rPr>
        <w:t xml:space="preserve"> befolyásoló </w:t>
      </w:r>
      <w:r w:rsidR="000F5104">
        <w:rPr>
          <w:rFonts w:ascii="Garamond" w:hAnsi="Garamond"/>
          <w:i/>
          <w:sz w:val="22"/>
          <w:szCs w:val="22"/>
        </w:rPr>
        <w:t xml:space="preserve">hatása nem kimutatható, akkor </w:t>
      </w:r>
      <w:r w:rsidR="000F5104">
        <w:rPr>
          <w:rFonts w:ascii="Garamond" w:hAnsi="Garamond"/>
          <w:b/>
          <w:bCs/>
          <w:i/>
          <w:sz w:val="22"/>
          <w:szCs w:val="22"/>
        </w:rPr>
        <w:t xml:space="preserve">nem kell közzétenni. </w:t>
      </w:r>
      <w:r w:rsidR="000F5104">
        <w:rPr>
          <w:rFonts w:ascii="Garamond" w:hAnsi="Garamond"/>
          <w:iCs/>
          <w:sz w:val="22"/>
          <w:szCs w:val="22"/>
        </w:rPr>
        <w:t xml:space="preserve">Tekintettel arra, hogy a </w:t>
      </w:r>
      <w:r w:rsidR="000F5104" w:rsidRPr="000810C6">
        <w:rPr>
          <w:rFonts w:ascii="Garamond" w:hAnsi="Garamond"/>
          <w:b/>
          <w:bCs/>
          <w:iCs/>
          <w:sz w:val="22"/>
          <w:szCs w:val="22"/>
        </w:rPr>
        <w:t>tárgyban</w:t>
      </w:r>
      <w:r w:rsidR="000F5104">
        <w:rPr>
          <w:rFonts w:ascii="Garamond" w:hAnsi="Garamond"/>
          <w:iCs/>
          <w:sz w:val="22"/>
          <w:szCs w:val="22"/>
        </w:rPr>
        <w:t xml:space="preserve"> </w:t>
      </w:r>
      <w:r w:rsidR="000F5104" w:rsidRPr="00EA1206">
        <w:rPr>
          <w:rFonts w:ascii="Garamond" w:hAnsi="Garamond"/>
          <w:b/>
          <w:bCs/>
          <w:iCs/>
          <w:sz w:val="22"/>
          <w:szCs w:val="22"/>
        </w:rPr>
        <w:t>kiadott jogszabály</w:t>
      </w:r>
      <w:r w:rsidR="000F5104">
        <w:rPr>
          <w:rFonts w:ascii="Garamond" w:hAnsi="Garamond"/>
          <w:iCs/>
          <w:sz w:val="22"/>
          <w:szCs w:val="22"/>
        </w:rPr>
        <w:t xml:space="preserve"> </w:t>
      </w:r>
      <w:r w:rsidR="00EA1206" w:rsidRPr="00EA1206">
        <w:rPr>
          <w:rFonts w:ascii="Garamond" w:hAnsi="Garamond"/>
          <w:b/>
          <w:bCs/>
          <w:iCs/>
          <w:sz w:val="22"/>
          <w:szCs w:val="22"/>
        </w:rPr>
        <w:t>tartalm</w:t>
      </w:r>
      <w:r w:rsidR="00F0292B">
        <w:rPr>
          <w:rFonts w:ascii="Garamond" w:hAnsi="Garamond"/>
          <w:b/>
          <w:bCs/>
          <w:iCs/>
          <w:sz w:val="22"/>
          <w:szCs w:val="22"/>
        </w:rPr>
        <w:t xml:space="preserve">a </w:t>
      </w:r>
      <w:r w:rsidR="00EA1206">
        <w:rPr>
          <w:rFonts w:ascii="Garamond" w:hAnsi="Garamond"/>
          <w:b/>
          <w:bCs/>
          <w:iCs/>
          <w:sz w:val="22"/>
          <w:szCs w:val="22"/>
        </w:rPr>
        <w:t xml:space="preserve">számszakilag azonos a hatályos </w:t>
      </w:r>
      <w:r w:rsidR="00EA1206" w:rsidRPr="000810C6">
        <w:rPr>
          <w:rFonts w:ascii="Garamond" w:hAnsi="Garamond"/>
          <w:b/>
          <w:bCs/>
          <w:iCs/>
          <w:sz w:val="22"/>
          <w:szCs w:val="22"/>
        </w:rPr>
        <w:t>önkormányzati rendelettel</w:t>
      </w:r>
      <w:r w:rsidR="00F0292B">
        <w:rPr>
          <w:rFonts w:ascii="Garamond" w:hAnsi="Garamond"/>
          <w:iCs/>
          <w:sz w:val="22"/>
          <w:szCs w:val="22"/>
        </w:rPr>
        <w:t xml:space="preserve"> és </w:t>
      </w:r>
      <w:r w:rsidR="00EA1206" w:rsidRPr="00F0292B">
        <w:rPr>
          <w:rFonts w:ascii="Garamond" w:hAnsi="Garamond"/>
          <w:i/>
          <w:sz w:val="22"/>
          <w:szCs w:val="22"/>
        </w:rPr>
        <w:t>a</w:t>
      </w:r>
      <w:r w:rsidR="00F0292B">
        <w:rPr>
          <w:rFonts w:ascii="Garamond" w:hAnsi="Garamond"/>
          <w:i/>
          <w:sz w:val="22"/>
          <w:szCs w:val="22"/>
        </w:rPr>
        <w:t xml:space="preserve">zt </w:t>
      </w:r>
      <w:proofErr w:type="gramStart"/>
      <w:r w:rsidR="00F0292B">
        <w:rPr>
          <w:rFonts w:ascii="Garamond" w:hAnsi="Garamond"/>
          <w:i/>
          <w:sz w:val="22"/>
          <w:szCs w:val="22"/>
        </w:rPr>
        <w:t xml:space="preserve">a </w:t>
      </w:r>
      <w:r w:rsidR="00EA1206">
        <w:rPr>
          <w:rFonts w:ascii="Garamond" w:hAnsi="Garamond"/>
          <w:i/>
          <w:sz w:val="22"/>
          <w:szCs w:val="22"/>
        </w:rPr>
        <w:t xml:space="preserve"> település</w:t>
      </w:r>
      <w:proofErr w:type="gramEnd"/>
      <w:r w:rsidR="00EA1206">
        <w:rPr>
          <w:rFonts w:ascii="Garamond" w:hAnsi="Garamond"/>
          <w:i/>
          <w:sz w:val="22"/>
          <w:szCs w:val="22"/>
        </w:rPr>
        <w:t xml:space="preserve"> lakossága több mint 6 éve ismer</w:t>
      </w:r>
      <w:r w:rsidR="00F0292B">
        <w:rPr>
          <w:rFonts w:ascii="Garamond" w:hAnsi="Garamond"/>
          <w:i/>
          <w:sz w:val="22"/>
          <w:szCs w:val="22"/>
        </w:rPr>
        <w:t>i</w:t>
      </w:r>
      <w:r w:rsidR="00EA1206">
        <w:rPr>
          <w:rFonts w:ascii="Garamond" w:hAnsi="Garamond"/>
          <w:i/>
          <w:sz w:val="22"/>
          <w:szCs w:val="22"/>
        </w:rPr>
        <w:t xml:space="preserve">, ezért </w:t>
      </w:r>
      <w:r w:rsidR="00EA1206">
        <w:rPr>
          <w:rFonts w:ascii="Garamond" w:hAnsi="Garamond"/>
          <w:b/>
          <w:bCs/>
          <w:i/>
          <w:sz w:val="22"/>
          <w:szCs w:val="22"/>
          <w:u w:val="single"/>
        </w:rPr>
        <w:t>nem tartom szükségesnek e tárgyi indokolásban foglaltak közzétételét.</w:t>
      </w:r>
      <w:r w:rsidR="00EA1206">
        <w:rPr>
          <w:rFonts w:ascii="Garamond" w:hAnsi="Garamond"/>
          <w:b/>
          <w:bCs/>
          <w:iCs/>
          <w:sz w:val="22"/>
          <w:szCs w:val="22"/>
        </w:rPr>
        <w:t xml:space="preserve"> </w:t>
      </w:r>
      <w:r w:rsidRPr="00EA1206">
        <w:rPr>
          <w:rFonts w:ascii="Garamond" w:hAnsi="Garamond"/>
          <w:b/>
          <w:bCs/>
          <w:iCs/>
          <w:sz w:val="22"/>
          <w:szCs w:val="22"/>
        </w:rPr>
        <w:t xml:space="preserve"> </w:t>
      </w:r>
    </w:p>
    <w:p w14:paraId="5F38F521" w14:textId="69BDE571" w:rsidR="005E7C27" w:rsidRDefault="00E55278" w:rsidP="005E7C27">
      <w:pPr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</w:t>
      </w:r>
      <w:r w:rsidR="005E7C27">
        <w:rPr>
          <w:rFonts w:ascii="Garamond" w:hAnsi="Garamond"/>
          <w:i/>
          <w:sz w:val="22"/>
          <w:szCs w:val="22"/>
        </w:rPr>
        <w:t xml:space="preserve"> </w:t>
      </w:r>
    </w:p>
    <w:p w14:paraId="2720EC73" w14:textId="77777777" w:rsidR="005E7C27" w:rsidRDefault="005E7C27" w:rsidP="005E7C27">
      <w:pPr>
        <w:jc w:val="both"/>
        <w:rPr>
          <w:rFonts w:ascii="Garamond" w:hAnsi="Garamond"/>
          <w:sz w:val="22"/>
          <w:szCs w:val="22"/>
        </w:rPr>
      </w:pPr>
    </w:p>
    <w:p w14:paraId="351BBC1D" w14:textId="77777777" w:rsidR="005E7C27" w:rsidRDefault="005E7C27" w:rsidP="005E7C2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040C7131" w14:textId="77777777" w:rsidR="005E7C27" w:rsidRDefault="005E7C27" w:rsidP="005E7C2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Bevezető részhez</w:t>
      </w:r>
    </w:p>
    <w:p w14:paraId="6C5F114E" w14:textId="77777777" w:rsidR="005E7C27" w:rsidRDefault="005E7C27" w:rsidP="005E7C27">
      <w:pPr>
        <w:jc w:val="center"/>
        <w:rPr>
          <w:rFonts w:ascii="Garamond" w:hAnsi="Garamond"/>
          <w:b/>
          <w:sz w:val="22"/>
          <w:szCs w:val="22"/>
        </w:rPr>
      </w:pPr>
    </w:p>
    <w:p w14:paraId="1627D97F" w14:textId="23F467F4" w:rsidR="005E7C27" w:rsidRDefault="005E7C27" w:rsidP="005E7C27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>felhatalmazást adnak az önkormányzati rendelet megalkotására</w:t>
      </w:r>
      <w:r>
        <w:rPr>
          <w:rFonts w:ascii="Garamond" w:hAnsi="Garamond"/>
          <w:sz w:val="22"/>
          <w:szCs w:val="22"/>
        </w:rPr>
        <w:t xml:space="preserve"> a népszavazás kezdeményezéséről, az európai polgári kezdeményezésről, valamint a népszavazási eljárásról szóló 2013. évi CCXXXVIII. törvény 92.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kapott felhatalmazás alapján származékos jogalkotói hatáskör feltüntetését, másrészt </w:t>
      </w:r>
      <w:r>
        <w:rPr>
          <w:rFonts w:ascii="Garamond" w:hAnsi="Garamond"/>
          <w:i/>
          <w:sz w:val="22"/>
          <w:szCs w:val="22"/>
        </w:rPr>
        <w:t>a jogalkotás módját</w:t>
      </w:r>
      <w:r>
        <w:rPr>
          <w:rFonts w:ascii="Garamond" w:hAnsi="Garamond"/>
          <w:sz w:val="22"/>
          <w:szCs w:val="22"/>
        </w:rPr>
        <w:t xml:space="preserve"> (jelen </w:t>
      </w:r>
      <w:proofErr w:type="gramStart"/>
      <w:r>
        <w:rPr>
          <w:rFonts w:ascii="Garamond" w:hAnsi="Garamond"/>
          <w:sz w:val="22"/>
          <w:szCs w:val="22"/>
        </w:rPr>
        <w:t>esetben  az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proofErr w:type="spellStart"/>
      <w:r>
        <w:rPr>
          <w:rFonts w:ascii="Garamond" w:hAnsi="Garamond"/>
          <w:sz w:val="22"/>
          <w:szCs w:val="22"/>
        </w:rPr>
        <w:t>Nysztv</w:t>
      </w:r>
      <w:proofErr w:type="spellEnd"/>
      <w:r>
        <w:rPr>
          <w:rFonts w:ascii="Garamond" w:hAnsi="Garamond"/>
          <w:sz w:val="22"/>
          <w:szCs w:val="22"/>
        </w:rPr>
        <w:t>. alapuló felhatalmazáson túl) a szaktörvényre való hivatkozást: a népszavazás kezdeményezéséről, az európai polgári kezdeményezésről, valamint a népszavazási eljárásról szóló 2013. évi CCXXXVIII. törvény 34. § (</w:t>
      </w:r>
      <w:r w:rsidR="00EE6F03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>) bekezdés</w:t>
      </w:r>
      <w:r w:rsidR="00EE6F03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>, továbbá az Alaptörvény 32. cikk (1) bekezdése a) pontja</w:t>
      </w:r>
      <w:r w:rsidR="00961FE9">
        <w:rPr>
          <w:rFonts w:ascii="Garamond" w:hAnsi="Garamond"/>
          <w:sz w:val="22"/>
          <w:szCs w:val="22"/>
        </w:rPr>
        <w:t xml:space="preserve">, valamint a Magyarország helyi önkormányzatairól szóló 2011. évi CLXXXIX. törvény 3. § (4) bekezdése </w:t>
      </w:r>
      <w:r>
        <w:rPr>
          <w:rFonts w:ascii="Garamond" w:hAnsi="Garamond"/>
          <w:sz w:val="22"/>
          <w:szCs w:val="22"/>
        </w:rPr>
        <w:t xml:space="preserve">szerinti feladatkörének meghatározását, az önkormányzat szervezeti és működési szabályzatáról szóló </w:t>
      </w:r>
      <w:r w:rsidR="0052098D">
        <w:rPr>
          <w:rFonts w:ascii="Garamond" w:hAnsi="Garamond"/>
          <w:sz w:val="22"/>
          <w:szCs w:val="22"/>
        </w:rPr>
        <w:t>14</w:t>
      </w:r>
      <w:r>
        <w:rPr>
          <w:rFonts w:ascii="Garamond" w:hAnsi="Garamond"/>
          <w:sz w:val="22"/>
          <w:szCs w:val="22"/>
        </w:rPr>
        <w:t>/201</w:t>
      </w:r>
      <w:r w:rsidR="0052098D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>. (XI. 2</w:t>
      </w:r>
      <w:r w:rsidR="0052098D">
        <w:rPr>
          <w:rFonts w:ascii="Garamond" w:hAnsi="Garamond"/>
          <w:sz w:val="22"/>
          <w:szCs w:val="22"/>
        </w:rPr>
        <w:t>7</w:t>
      </w:r>
      <w:r>
        <w:rPr>
          <w:rFonts w:ascii="Garamond" w:hAnsi="Garamond"/>
          <w:sz w:val="22"/>
          <w:szCs w:val="22"/>
        </w:rPr>
        <w:t>.) önkormányzati rendelet   23. § (</w:t>
      </w:r>
      <w:r w:rsidR="00D02B18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 xml:space="preserve">) bekezdése b) </w:t>
      </w:r>
      <w:proofErr w:type="gramStart"/>
      <w:r>
        <w:rPr>
          <w:rFonts w:ascii="Garamond" w:hAnsi="Garamond"/>
          <w:sz w:val="22"/>
          <w:szCs w:val="22"/>
        </w:rPr>
        <w:t>pontjában  feladatkörében</w:t>
      </w:r>
      <w:proofErr w:type="gramEnd"/>
      <w:r>
        <w:rPr>
          <w:rFonts w:ascii="Garamond" w:hAnsi="Garamond"/>
          <w:sz w:val="22"/>
          <w:szCs w:val="22"/>
        </w:rPr>
        <w:t xml:space="preserve"> eljárni jogosított </w:t>
      </w:r>
      <w:r>
        <w:rPr>
          <w:rFonts w:ascii="Garamond" w:hAnsi="Garamond"/>
          <w:i/>
          <w:sz w:val="22"/>
          <w:szCs w:val="22"/>
        </w:rPr>
        <w:t xml:space="preserve">Bizottságok véleményének kikérése kötelezettségének teljesítését  </w:t>
      </w:r>
      <w:r>
        <w:rPr>
          <w:rFonts w:ascii="Garamond" w:hAnsi="Garamond"/>
          <w:sz w:val="22"/>
          <w:szCs w:val="22"/>
        </w:rPr>
        <w:t>foglalja magába, betartva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az IRM rendelet 55. § (5) bekezdésében  és az 58. § (1) bekezdésében írtakat.</w:t>
      </w:r>
    </w:p>
    <w:p w14:paraId="11CF8FDE" w14:textId="77777777" w:rsidR="005E7C27" w:rsidRDefault="005E7C27" w:rsidP="005E7C27">
      <w:pPr>
        <w:rPr>
          <w:rFonts w:ascii="Garamond" w:hAnsi="Garamond"/>
        </w:rPr>
      </w:pPr>
    </w:p>
    <w:p w14:paraId="62CEEA00" w14:textId="77777777" w:rsidR="005E7C27" w:rsidRDefault="005E7C27" w:rsidP="005E7C27">
      <w:pPr>
        <w:numPr>
          <w:ilvl w:val="0"/>
          <w:numId w:val="1"/>
        </w:num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14:paraId="36F3DE3D" w14:textId="77777777" w:rsidR="005E7C27" w:rsidRDefault="005E7C27" w:rsidP="005E7C27">
      <w:pPr>
        <w:jc w:val="both"/>
        <w:rPr>
          <w:rFonts w:ascii="Garamond" w:hAnsi="Garamond"/>
          <w:b/>
          <w:sz w:val="22"/>
          <w:szCs w:val="22"/>
        </w:rPr>
      </w:pPr>
    </w:p>
    <w:p w14:paraId="44A194A4" w14:textId="13C4D5BD" w:rsidR="005E7C27" w:rsidRDefault="005E7C27" w:rsidP="005E7C27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helyi népszavazást kezdeményező</w:t>
      </w:r>
      <w:r w:rsidR="0052098D">
        <w:rPr>
          <w:rFonts w:ascii="Garamond" w:hAnsi="Garamond"/>
          <w:sz w:val="22"/>
          <w:szCs w:val="22"/>
        </w:rPr>
        <w:t xml:space="preserve"> választópolgárok</w:t>
      </w:r>
      <w:r>
        <w:rPr>
          <w:rFonts w:ascii="Garamond" w:hAnsi="Garamond"/>
          <w:sz w:val="22"/>
          <w:szCs w:val="22"/>
        </w:rPr>
        <w:t xml:space="preserve"> százalékos arányú meghatározását</w:t>
      </w:r>
      <w:r w:rsidR="00826E9A">
        <w:rPr>
          <w:rFonts w:ascii="Garamond" w:hAnsi="Garamond"/>
          <w:sz w:val="22"/>
          <w:szCs w:val="22"/>
        </w:rPr>
        <w:t xml:space="preserve"> foglalja magába,</w:t>
      </w:r>
      <w:r>
        <w:rPr>
          <w:rFonts w:ascii="Garamond" w:hAnsi="Garamond"/>
          <w:sz w:val="22"/>
          <w:szCs w:val="22"/>
        </w:rPr>
        <w:t xml:space="preserve"> figyelembe véve a vonatkozó törvényben szabályozott korlátokat.</w:t>
      </w:r>
    </w:p>
    <w:p w14:paraId="05D02030" w14:textId="77777777" w:rsidR="005E7C27" w:rsidRDefault="005E7C27" w:rsidP="005E7C27">
      <w:pPr>
        <w:rPr>
          <w:rFonts w:ascii="Garamond" w:hAnsi="Garamond"/>
        </w:rPr>
      </w:pPr>
    </w:p>
    <w:p w14:paraId="1C6F854A" w14:textId="77777777" w:rsidR="005E7C27" w:rsidRDefault="005E7C27" w:rsidP="005E7C27">
      <w:pPr>
        <w:numPr>
          <w:ilvl w:val="0"/>
          <w:numId w:val="1"/>
        </w:num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14:paraId="7D593608" w14:textId="77777777" w:rsidR="005E7C27" w:rsidRDefault="005E7C27" w:rsidP="005E7C27">
      <w:pPr>
        <w:jc w:val="center"/>
        <w:rPr>
          <w:rFonts w:ascii="Garamond" w:hAnsi="Garamond"/>
          <w:b/>
          <w:sz w:val="22"/>
          <w:szCs w:val="22"/>
        </w:rPr>
      </w:pPr>
    </w:p>
    <w:p w14:paraId="627ABC0D" w14:textId="3EDFBC3C" w:rsidR="005E7C27" w:rsidRDefault="005E7C27" w:rsidP="005E7C27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záró rendelkezés </w:t>
      </w:r>
      <w:r>
        <w:rPr>
          <w:rFonts w:ascii="Garamond" w:hAnsi="Garamond"/>
          <w:sz w:val="22"/>
          <w:szCs w:val="22"/>
        </w:rPr>
        <w:t>az IRM rendelet 78. §</w:t>
      </w:r>
      <w:r w:rsidR="00826E9A">
        <w:rPr>
          <w:rFonts w:ascii="Garamond" w:hAnsi="Garamond"/>
          <w:sz w:val="22"/>
          <w:szCs w:val="22"/>
        </w:rPr>
        <w:t>-a</w:t>
      </w:r>
      <w:r>
        <w:rPr>
          <w:rFonts w:ascii="Garamond" w:hAnsi="Garamond"/>
          <w:sz w:val="22"/>
          <w:szCs w:val="22"/>
        </w:rPr>
        <w:t xml:space="preserve"> szerint 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léptetése időpontját. </w:t>
      </w:r>
      <w:r>
        <w:rPr>
          <w:rFonts w:ascii="Garamond" w:hAnsi="Garamond"/>
          <w:sz w:val="22"/>
          <w:szCs w:val="22"/>
        </w:rPr>
        <w:t xml:space="preserve"> Az önkormányzati rendelet </w:t>
      </w:r>
      <w:proofErr w:type="gramStart"/>
      <w:r>
        <w:rPr>
          <w:rFonts w:ascii="Garamond" w:hAnsi="Garamond"/>
          <w:sz w:val="22"/>
          <w:szCs w:val="22"/>
        </w:rPr>
        <w:t>kih</w:t>
      </w:r>
      <w:r w:rsidR="00826E9A">
        <w:rPr>
          <w:rFonts w:ascii="Garamond" w:hAnsi="Garamond"/>
          <w:sz w:val="22"/>
          <w:szCs w:val="22"/>
        </w:rPr>
        <w:t xml:space="preserve">irdetése </w:t>
      </w:r>
      <w:r>
        <w:rPr>
          <w:rFonts w:ascii="Garamond" w:hAnsi="Garamond"/>
          <w:sz w:val="22"/>
          <w:szCs w:val="22"/>
        </w:rPr>
        <w:t xml:space="preserve"> és</w:t>
      </w:r>
      <w:proofErr w:type="gramEnd"/>
      <w:r>
        <w:rPr>
          <w:rFonts w:ascii="Garamond" w:hAnsi="Garamond"/>
          <w:sz w:val="22"/>
          <w:szCs w:val="22"/>
        </w:rPr>
        <w:t xml:space="preserve"> hatályba léptetése közötti idő rövidsége azért nem okoz problémát, mert az abban foglaltak végrehajtása felkészülést nem igényel az érintettek számára, továbbá a rendelet-tervezet megismerhetősége a rendelet-tervezet Polgármesteri Hivatalban történt hirdetményként való közzétételével biztosított volt,  iránta </w:t>
      </w:r>
      <w:r>
        <w:rPr>
          <w:rFonts w:ascii="Garamond" w:hAnsi="Garamond"/>
          <w:sz w:val="22"/>
          <w:szCs w:val="22"/>
        </w:rPr>
        <w:lastRenderedPageBreak/>
        <w:t xml:space="preserve">érdeklődés a lakosság köréből nem mutatkozott, így ezért a javasolt időpontja: </w:t>
      </w:r>
      <w:r>
        <w:rPr>
          <w:rFonts w:ascii="Garamond" w:hAnsi="Garamond"/>
          <w:i/>
          <w:sz w:val="22"/>
          <w:szCs w:val="22"/>
        </w:rPr>
        <w:t>20</w:t>
      </w:r>
      <w:r w:rsidR="00826E9A">
        <w:rPr>
          <w:rFonts w:ascii="Garamond" w:hAnsi="Garamond"/>
          <w:i/>
          <w:sz w:val="22"/>
          <w:szCs w:val="22"/>
        </w:rPr>
        <w:t>22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826E9A">
        <w:rPr>
          <w:rFonts w:ascii="Garamond" w:hAnsi="Garamond"/>
          <w:i/>
          <w:sz w:val="22"/>
          <w:szCs w:val="22"/>
        </w:rPr>
        <w:t>május</w:t>
      </w:r>
      <w:r>
        <w:rPr>
          <w:rFonts w:ascii="Garamond" w:hAnsi="Garamond"/>
          <w:i/>
          <w:sz w:val="22"/>
          <w:szCs w:val="22"/>
        </w:rPr>
        <w:t xml:space="preserve"> 01. napja.</w:t>
      </w:r>
      <w:r>
        <w:rPr>
          <w:rFonts w:ascii="Garamond" w:hAnsi="Garamond"/>
          <w:sz w:val="22"/>
          <w:szCs w:val="22"/>
        </w:rPr>
        <w:t xml:space="preserve"> Az önkormányzati rendelet az önkormányzat honlapján és a Nemzeti Jogszabálytárban elérhető, a községi könyvtárban és a hivatalban megtekinthető</w:t>
      </w:r>
      <w:r w:rsidR="00826E9A">
        <w:rPr>
          <w:rFonts w:ascii="Garamond" w:hAnsi="Garamond"/>
          <w:sz w:val="22"/>
          <w:szCs w:val="22"/>
        </w:rPr>
        <w:t xml:space="preserve">. A </w:t>
      </w:r>
      <w:r>
        <w:rPr>
          <w:rFonts w:ascii="Garamond" w:hAnsi="Garamond"/>
          <w:sz w:val="22"/>
          <w:szCs w:val="22"/>
        </w:rPr>
        <w:t>település lakossága a</w:t>
      </w:r>
      <w:r w:rsidR="00826E9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havonta megjelenő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az önkormányzati rendelet </w:t>
      </w:r>
      <w:r w:rsidR="00826E9A">
        <w:rPr>
          <w:rFonts w:ascii="Garamond" w:hAnsi="Garamond"/>
          <w:sz w:val="22"/>
          <w:szCs w:val="22"/>
        </w:rPr>
        <w:t xml:space="preserve">tartalmáról és </w:t>
      </w:r>
      <w:r>
        <w:rPr>
          <w:rFonts w:ascii="Garamond" w:hAnsi="Garamond"/>
          <w:sz w:val="22"/>
          <w:szCs w:val="22"/>
        </w:rPr>
        <w:t xml:space="preserve">hatályba lépéséről.  A záró rendelkezések között kapott helyet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  <w:r>
        <w:rPr>
          <w:rFonts w:ascii="Garamond" w:hAnsi="Garamond"/>
          <w:sz w:val="22"/>
          <w:szCs w:val="22"/>
        </w:rPr>
        <w:t xml:space="preserve"> </w:t>
      </w:r>
    </w:p>
    <w:p w14:paraId="198D3556" w14:textId="77777777" w:rsidR="005E7C27" w:rsidRDefault="005E7C27" w:rsidP="005E7C27">
      <w:pPr>
        <w:jc w:val="both"/>
        <w:rPr>
          <w:rFonts w:ascii="Garamond" w:hAnsi="Garamond"/>
          <w:sz w:val="22"/>
          <w:szCs w:val="22"/>
        </w:rPr>
      </w:pPr>
    </w:p>
    <w:p w14:paraId="5943EC52" w14:textId="0BBB076D" w:rsidR="005E7C27" w:rsidRDefault="005E7C27" w:rsidP="005E7C27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8D4797">
        <w:rPr>
          <w:rFonts w:ascii="Garamond" w:hAnsi="Garamond"/>
          <w:sz w:val="22"/>
          <w:szCs w:val="22"/>
        </w:rPr>
        <w:t>22</w:t>
      </w:r>
      <w:r>
        <w:rPr>
          <w:rFonts w:ascii="Garamond" w:hAnsi="Garamond"/>
          <w:sz w:val="22"/>
          <w:szCs w:val="22"/>
        </w:rPr>
        <w:t xml:space="preserve">. </w:t>
      </w:r>
      <w:r w:rsidR="008D4797">
        <w:rPr>
          <w:rFonts w:ascii="Garamond" w:hAnsi="Garamond"/>
          <w:sz w:val="22"/>
          <w:szCs w:val="22"/>
        </w:rPr>
        <w:t>április 19</w:t>
      </w:r>
      <w:r>
        <w:rPr>
          <w:rFonts w:ascii="Garamond" w:hAnsi="Garamond"/>
          <w:sz w:val="22"/>
          <w:szCs w:val="22"/>
        </w:rPr>
        <w:t>.</w:t>
      </w:r>
    </w:p>
    <w:p w14:paraId="1DCDFBF4" w14:textId="77777777" w:rsidR="005E7C27" w:rsidRDefault="005E7C27" w:rsidP="005E7C27">
      <w:pPr>
        <w:jc w:val="both"/>
        <w:rPr>
          <w:rFonts w:ascii="Garamond" w:hAnsi="Garamond"/>
          <w:sz w:val="22"/>
          <w:szCs w:val="22"/>
        </w:rPr>
      </w:pPr>
    </w:p>
    <w:p w14:paraId="02478447" w14:textId="78179FC7" w:rsidR="005E7C27" w:rsidRDefault="005E7C27" w:rsidP="005E7C27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8D4797">
        <w:rPr>
          <w:rFonts w:ascii="Garamond" w:hAnsi="Garamond"/>
          <w:sz w:val="22"/>
          <w:szCs w:val="22"/>
        </w:rPr>
        <w:tab/>
      </w:r>
      <w:r w:rsidR="008D4797">
        <w:rPr>
          <w:rFonts w:ascii="Garamond" w:hAnsi="Garamond"/>
          <w:sz w:val="22"/>
          <w:szCs w:val="22"/>
        </w:rPr>
        <w:tab/>
        <w:t>……………………………….</w:t>
      </w:r>
    </w:p>
    <w:p w14:paraId="0CAA59F5" w14:textId="77777777" w:rsidR="005E7C27" w:rsidRDefault="005E7C27" w:rsidP="005E7C27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29AC8E3E" w14:textId="7E49CE64" w:rsidR="005406D0" w:rsidRPr="005E7C27" w:rsidRDefault="005E7C27" w:rsidP="005E7C27"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sectPr w:rsidR="005406D0" w:rsidRPr="005E7C27" w:rsidSect="008D4797">
      <w:pgSz w:w="11906" w:h="16838"/>
      <w:pgMar w:top="1417" w:right="707" w:bottom="85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01702"/>
    <w:multiLevelType w:val="hybridMultilevel"/>
    <w:tmpl w:val="B8AC45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378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C27"/>
    <w:rsid w:val="000810C6"/>
    <w:rsid w:val="000F5104"/>
    <w:rsid w:val="002F692C"/>
    <w:rsid w:val="0034313D"/>
    <w:rsid w:val="0052098D"/>
    <w:rsid w:val="005406D0"/>
    <w:rsid w:val="00563EC7"/>
    <w:rsid w:val="005E7C27"/>
    <w:rsid w:val="00653CAA"/>
    <w:rsid w:val="007872CE"/>
    <w:rsid w:val="00826E9A"/>
    <w:rsid w:val="00872172"/>
    <w:rsid w:val="008D4797"/>
    <w:rsid w:val="00961FE9"/>
    <w:rsid w:val="00D02B18"/>
    <w:rsid w:val="00D9032C"/>
    <w:rsid w:val="00E55278"/>
    <w:rsid w:val="00EA1206"/>
    <w:rsid w:val="00EE6F03"/>
    <w:rsid w:val="00F0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F4F35"/>
  <w15:chartTrackingRefBased/>
  <w15:docId w15:val="{54C612D3-A827-4999-ABFA-7EE63AE7E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E7C27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5E7C27"/>
    <w:pPr>
      <w:keepNext/>
      <w:jc w:val="center"/>
      <w:outlineLvl w:val="0"/>
    </w:pPr>
    <w:rPr>
      <w:rFonts w:ascii="Times New Roman" w:hAnsi="Times New Roman"/>
      <w:sz w:val="2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5E7C27"/>
    <w:pPr>
      <w:keepNext/>
      <w:jc w:val="both"/>
      <w:outlineLvl w:val="1"/>
    </w:pPr>
    <w:rPr>
      <w:rFonts w:ascii="Times New Roman" w:hAnsi="Times New Roman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E7C27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5E7C27"/>
    <w:rPr>
      <w:rFonts w:ascii="Times New Roman" w:eastAsia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641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2022-04-19T07:04:00Z</dcterms:created>
  <dcterms:modified xsi:type="dcterms:W3CDTF">2022-04-25T09:05:00Z</dcterms:modified>
</cp:coreProperties>
</file>