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1918" w14:textId="77777777" w:rsidR="00E56DDA" w:rsidRDefault="00E56DDA" w:rsidP="00E56DDA">
      <w:pPr>
        <w:jc w:val="both"/>
        <w:rPr>
          <w:rFonts w:ascii="Garamond" w:hAnsi="Garamond"/>
          <w:sz w:val="22"/>
          <w:szCs w:val="22"/>
        </w:rPr>
      </w:pPr>
    </w:p>
    <w:p w14:paraId="27CA2EF3" w14:textId="77777777" w:rsidR="00D2085C" w:rsidRDefault="00D2085C" w:rsidP="00D2085C">
      <w:pPr>
        <w:pStyle w:val="Cm"/>
        <w:ind w:left="1416"/>
        <w:rPr>
          <w:rFonts w:ascii="Monotype Corsiva" w:hAnsi="Monotype Corsiva"/>
          <w:b/>
          <w:sz w:val="24"/>
          <w:szCs w:val="24"/>
        </w:rPr>
      </w:pPr>
    </w:p>
    <w:p w14:paraId="0DEAEF5A" w14:textId="109463ED" w:rsidR="00E56DDA" w:rsidRPr="0052169E" w:rsidRDefault="00E56DDA" w:rsidP="00D2085C">
      <w:pPr>
        <w:pStyle w:val="Cm"/>
        <w:ind w:left="284"/>
        <w:rPr>
          <w:rFonts w:ascii="Monotype Corsiva" w:hAnsi="Monotype Corsiva"/>
          <w:b/>
          <w:sz w:val="22"/>
          <w:szCs w:val="22"/>
        </w:rPr>
      </w:pPr>
      <w:r w:rsidRPr="0052169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0DE3D6" wp14:editId="62581217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95C6A" w14:textId="43E3E356" w:rsidR="00E56DDA" w:rsidRDefault="00E56DDA" w:rsidP="00E56D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7E582C" wp14:editId="07D650BC">
                                  <wp:extent cx="535305" cy="715010"/>
                                  <wp:effectExtent l="0" t="0" r="0" b="889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0DE3D6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    <v:textbox>
                  <w:txbxContent>
                    <w:p w14:paraId="07095C6A" w14:textId="43E3E356" w:rsidR="00E56DDA" w:rsidRDefault="00E56DDA" w:rsidP="00E56DDA">
                      <w:r>
                        <w:rPr>
                          <w:noProof/>
                        </w:rPr>
                        <w:drawing>
                          <wp:inline distT="0" distB="0" distL="0" distR="0" wp14:anchorId="217E582C" wp14:editId="07D650BC">
                            <wp:extent cx="535305" cy="715010"/>
                            <wp:effectExtent l="0" t="0" r="0" b="889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2169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EEA6701" wp14:editId="1406A129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96106E" w14:textId="20C98DED" w:rsidR="00E56DDA" w:rsidRDefault="00E56DDA" w:rsidP="00E56D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8A601D" wp14:editId="779EC3C6">
                                  <wp:extent cx="449580" cy="762000"/>
                                  <wp:effectExtent l="0" t="0" r="762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A670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    <v:textbox>
                  <w:txbxContent>
                    <w:p w14:paraId="2296106E" w14:textId="20C98DED" w:rsidR="00E56DDA" w:rsidRDefault="00E56DDA" w:rsidP="00E56DDA">
                      <w:r>
                        <w:rPr>
                          <w:noProof/>
                        </w:rPr>
                        <w:drawing>
                          <wp:inline distT="0" distB="0" distL="0" distR="0" wp14:anchorId="478A601D" wp14:editId="779EC3C6">
                            <wp:extent cx="449580" cy="762000"/>
                            <wp:effectExtent l="0" t="0" r="762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52169E">
        <w:rPr>
          <w:rFonts w:ascii="Monotype Corsiva" w:hAnsi="Monotype Corsiva"/>
          <w:b/>
          <w:sz w:val="22"/>
          <w:szCs w:val="22"/>
        </w:rPr>
        <w:t>Csanytelek Község Önkormányzata Jegyzőjétől</w:t>
      </w:r>
    </w:p>
    <w:p w14:paraId="08ED1635" w14:textId="59C58863" w:rsidR="00E56DDA" w:rsidRPr="0052169E" w:rsidRDefault="00DB559C" w:rsidP="00D2085C">
      <w:pPr>
        <w:jc w:val="center"/>
        <w:rPr>
          <w:rFonts w:ascii="Monotype Corsiva" w:hAnsi="Monotype Corsiva"/>
          <w:b/>
          <w:i/>
          <w:sz w:val="22"/>
          <w:szCs w:val="22"/>
        </w:rPr>
      </w:pPr>
      <w:r w:rsidRPr="0052169E">
        <w:rPr>
          <w:rFonts w:ascii="Monotype Corsiva" w:hAnsi="Monotype Corsiva"/>
          <w:b/>
          <w:i/>
          <w:sz w:val="22"/>
          <w:szCs w:val="22"/>
        </w:rPr>
        <w:t xml:space="preserve">     </w:t>
      </w:r>
      <w:r w:rsidR="00E56DDA" w:rsidRPr="0052169E">
        <w:rPr>
          <w:rFonts w:ascii="Monotype Corsiva" w:hAnsi="Monotype Corsiva"/>
          <w:b/>
          <w:i/>
          <w:sz w:val="22"/>
          <w:szCs w:val="22"/>
        </w:rPr>
        <w:sym w:font="Wingdings" w:char="F02A"/>
      </w:r>
      <w:r w:rsidR="00E56DDA" w:rsidRPr="0052169E">
        <w:rPr>
          <w:rFonts w:ascii="Monotype Corsiva" w:hAnsi="Monotype Corsiva"/>
          <w:b/>
          <w:i/>
          <w:sz w:val="22"/>
          <w:szCs w:val="22"/>
        </w:rPr>
        <w:t xml:space="preserve"> 6647. Csanytelek, Volentér János tér 2.sz.</w:t>
      </w:r>
    </w:p>
    <w:p w14:paraId="0A799FD0" w14:textId="77777777" w:rsidR="00E56DDA" w:rsidRPr="0052169E" w:rsidRDefault="00E56DDA" w:rsidP="00D2085C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2"/>
          <w:szCs w:val="22"/>
        </w:rPr>
      </w:pPr>
      <w:r w:rsidRPr="0052169E">
        <w:rPr>
          <w:rFonts w:ascii="Monotype Corsiva" w:hAnsi="Monotype Corsiva"/>
          <w:b/>
          <w:sz w:val="22"/>
          <w:szCs w:val="22"/>
        </w:rPr>
        <w:sym w:font="Wingdings" w:char="F028"/>
      </w:r>
      <w:r w:rsidRPr="0052169E">
        <w:rPr>
          <w:rFonts w:ascii="Monotype Corsiva" w:hAnsi="Monotype Corsiva"/>
          <w:b/>
          <w:sz w:val="22"/>
          <w:szCs w:val="22"/>
        </w:rPr>
        <w:t xml:space="preserve"> 63/578-510; 63/578-512; 63/578-513; fax: 63/578-517; jegyzo@csanytelek.hu</w:t>
      </w:r>
    </w:p>
    <w:p w14:paraId="76F496A5" w14:textId="77777777" w:rsidR="00E56DDA" w:rsidRPr="0052169E" w:rsidRDefault="00E56DDA" w:rsidP="00D2085C">
      <w:pPr>
        <w:jc w:val="center"/>
        <w:rPr>
          <w:rFonts w:ascii="Monotype Corsiva" w:hAnsi="Monotype Corsiva"/>
          <w:b/>
          <w:sz w:val="22"/>
          <w:szCs w:val="22"/>
        </w:rPr>
      </w:pPr>
    </w:p>
    <w:p w14:paraId="20443EF7" w14:textId="5266C9F9" w:rsidR="00E56DDA" w:rsidRPr="0052169E" w:rsidRDefault="00E56DDA" w:rsidP="00E56DDA">
      <w:pPr>
        <w:ind w:right="-288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>CS/</w:t>
      </w:r>
      <w:r w:rsidR="00A80A8B">
        <w:rPr>
          <w:rFonts w:ascii="Garamond" w:hAnsi="Garamond"/>
          <w:sz w:val="22"/>
          <w:szCs w:val="22"/>
        </w:rPr>
        <w:t>421</w:t>
      </w:r>
      <w:r w:rsidRPr="0052169E">
        <w:rPr>
          <w:rFonts w:ascii="Garamond" w:hAnsi="Garamond"/>
          <w:sz w:val="22"/>
          <w:szCs w:val="22"/>
        </w:rPr>
        <w:t>-3/2022.</w:t>
      </w:r>
    </w:p>
    <w:p w14:paraId="7530497E" w14:textId="77777777" w:rsidR="00E56DDA" w:rsidRPr="0052169E" w:rsidRDefault="00E56DDA" w:rsidP="00E56DDA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52169E">
        <w:rPr>
          <w:rFonts w:ascii="Garamond" w:hAnsi="Garamond"/>
          <w:b/>
          <w:sz w:val="22"/>
          <w:szCs w:val="22"/>
        </w:rPr>
        <w:t>E L Ő Z E T E S  H A T Á S V I Z S G Á L A T</w:t>
      </w:r>
    </w:p>
    <w:p w14:paraId="588056B7" w14:textId="77777777" w:rsidR="00E56DDA" w:rsidRPr="0052169E" w:rsidRDefault="00E56DDA" w:rsidP="00E56DDA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36A20518" w14:textId="77777777" w:rsidR="00E56DDA" w:rsidRPr="0052169E" w:rsidRDefault="00E56DDA" w:rsidP="00E56DDA">
      <w:pPr>
        <w:ind w:right="-288"/>
        <w:jc w:val="center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sz w:val="22"/>
          <w:szCs w:val="22"/>
        </w:rPr>
        <w:t xml:space="preserve">az önkormányzat vagyonáról  </w:t>
      </w:r>
      <w:r w:rsidRPr="0052169E">
        <w:rPr>
          <w:rFonts w:ascii="Garamond" w:hAnsi="Garamond"/>
          <w:sz w:val="22"/>
          <w:szCs w:val="22"/>
        </w:rPr>
        <w:t>szóló önkormányzati rendelet  módosításáról szóló</w:t>
      </w:r>
    </w:p>
    <w:p w14:paraId="4E8B92B5" w14:textId="36313F09" w:rsidR="00E56DDA" w:rsidRPr="0052169E" w:rsidRDefault="00E56DDA" w:rsidP="00E56DDA">
      <w:pPr>
        <w:ind w:right="-288"/>
        <w:jc w:val="center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>önkormányzati rendelet–tervezet előterjesztéséhez</w:t>
      </w:r>
    </w:p>
    <w:p w14:paraId="5B87F6A1" w14:textId="77777777" w:rsidR="00E56DDA" w:rsidRPr="0052169E" w:rsidRDefault="00E56DDA" w:rsidP="00E56DDA">
      <w:pPr>
        <w:ind w:right="-288"/>
        <w:jc w:val="both"/>
        <w:rPr>
          <w:rFonts w:ascii="Garamond" w:hAnsi="Garamond"/>
          <w:sz w:val="22"/>
          <w:szCs w:val="22"/>
        </w:rPr>
      </w:pPr>
    </w:p>
    <w:p w14:paraId="0A0D6645" w14:textId="77777777" w:rsidR="00E56DDA" w:rsidRPr="0052169E" w:rsidRDefault="00E56DDA" w:rsidP="006A577A">
      <w:pPr>
        <w:ind w:right="143"/>
        <w:jc w:val="both"/>
        <w:rPr>
          <w:rFonts w:ascii="Garamond" w:hAnsi="Garamond"/>
          <w:i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§-ában írt kötelezettségemnek eleget téve az alábbiakban terjesztem be </w:t>
      </w:r>
      <w:r w:rsidRPr="0052169E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Pr="0052169E">
        <w:rPr>
          <w:rFonts w:ascii="Garamond" w:hAnsi="Garamond"/>
          <w:sz w:val="22"/>
          <w:szCs w:val="22"/>
        </w:rPr>
        <w:t>jogalkotók</w:t>
      </w:r>
      <w:r w:rsidRPr="0052169E">
        <w:rPr>
          <w:rFonts w:ascii="Garamond" w:hAnsi="Garamond"/>
          <w:i/>
          <w:sz w:val="22"/>
          <w:szCs w:val="22"/>
        </w:rPr>
        <w:t xml:space="preserve"> figyelmébe.</w:t>
      </w:r>
    </w:p>
    <w:p w14:paraId="3F190822" w14:textId="77777777" w:rsidR="00E56DDA" w:rsidRPr="0052169E" w:rsidRDefault="00E56DDA" w:rsidP="00E56DDA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E59DA7E" w14:textId="77777777" w:rsidR="00E56DDA" w:rsidRPr="0052169E" w:rsidRDefault="00E56DDA" w:rsidP="00E56DDA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52169E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181FDAF5" w14:textId="77777777" w:rsidR="00E56DDA" w:rsidRPr="0052169E" w:rsidRDefault="00E56DDA" w:rsidP="00E56DDA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91FB1E9" w14:textId="6B31D7F0" w:rsidR="00E56DDA" w:rsidRPr="0052169E" w:rsidRDefault="00E56DDA" w:rsidP="006A577A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>Társadalmi:</w:t>
      </w:r>
      <w:r w:rsidRPr="0052169E">
        <w:rPr>
          <w:rFonts w:ascii="Garamond" w:hAnsi="Garamond"/>
          <w:b/>
          <w:i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 xml:space="preserve">a település helyi  közösségére  a  </w:t>
      </w:r>
      <w:r w:rsidRPr="0052169E">
        <w:rPr>
          <w:rFonts w:ascii="Garamond" w:hAnsi="Garamond"/>
          <w:i/>
          <w:sz w:val="22"/>
          <w:szCs w:val="22"/>
        </w:rPr>
        <w:t xml:space="preserve">közszolgáltatások és a közfeladat ellátását  </w:t>
      </w:r>
      <w:r w:rsidRPr="0052169E">
        <w:rPr>
          <w:rFonts w:ascii="Garamond" w:hAnsi="Garamond"/>
          <w:sz w:val="22"/>
          <w:szCs w:val="22"/>
        </w:rPr>
        <w:t xml:space="preserve">biztosító </w:t>
      </w:r>
      <w:r w:rsidRPr="0052169E">
        <w:rPr>
          <w:rFonts w:ascii="Garamond" w:hAnsi="Garamond"/>
          <w:i/>
          <w:sz w:val="22"/>
          <w:szCs w:val="22"/>
        </w:rPr>
        <w:t>önkormányzati tulajdonú törzsvagyon léte, vagy hiánya</w:t>
      </w:r>
      <w:r w:rsidRPr="0052169E">
        <w:rPr>
          <w:rFonts w:ascii="Garamond" w:hAnsi="Garamond"/>
          <w:sz w:val="22"/>
          <w:szCs w:val="22"/>
        </w:rPr>
        <w:t xml:space="preserve">  hatást gyakorol, amely  tulajdonnal való gazdálkodás a jogalkotásra felhatalmazó központi jogszabályoknak megfelelő keretbe foglalt módon jeleníthető meg. A település lakossága ivóvízzel való ellátása, az elhasznált ivóvíz szennyvízként történő kezelése </w:t>
      </w:r>
      <w:r w:rsidR="002717A7" w:rsidRPr="0052169E">
        <w:rPr>
          <w:rFonts w:ascii="Garamond" w:hAnsi="Garamond"/>
          <w:sz w:val="22"/>
          <w:szCs w:val="22"/>
        </w:rPr>
        <w:t xml:space="preserve">önkormányzati </w:t>
      </w:r>
      <w:r w:rsidRPr="0052169E">
        <w:rPr>
          <w:rFonts w:ascii="Garamond" w:hAnsi="Garamond"/>
          <w:sz w:val="22"/>
          <w:szCs w:val="22"/>
        </w:rPr>
        <w:t>kötelező</w:t>
      </w:r>
      <w:r w:rsidR="00E23A23">
        <w:rPr>
          <w:rFonts w:ascii="Garamond" w:hAnsi="Garamond"/>
          <w:sz w:val="22"/>
          <w:szCs w:val="22"/>
        </w:rPr>
        <w:t xml:space="preserve"> ellátási</w:t>
      </w:r>
      <w:r w:rsidRPr="0052169E">
        <w:rPr>
          <w:rFonts w:ascii="Garamond" w:hAnsi="Garamond"/>
          <w:sz w:val="22"/>
          <w:szCs w:val="22"/>
        </w:rPr>
        <w:t xml:space="preserve"> feladata Magyar Államnak való átadása nem eredményez jelentős változást, mert a közszolgáltató vélhetően nem változik, marad az eddig bérleti szerződés alapján feladatot ellátó ALFÖLDVÍZ Zrt.</w:t>
      </w:r>
      <w:r w:rsidR="00E23A23">
        <w:rPr>
          <w:rFonts w:ascii="Garamond" w:hAnsi="Garamond"/>
          <w:sz w:val="22"/>
          <w:szCs w:val="22"/>
        </w:rPr>
        <w:t xml:space="preserve"> A szolgáltatásokért fizetendő díjak összege lehet érzékenységi faktor, amelyre eddig sem volt, ezt követően pedig végképp nem lesz ráhatásunk. </w:t>
      </w:r>
      <w:r w:rsidRPr="0052169E">
        <w:rPr>
          <w:rFonts w:ascii="Garamond" w:hAnsi="Garamond"/>
          <w:sz w:val="22"/>
          <w:szCs w:val="22"/>
        </w:rPr>
        <w:t xml:space="preserve"> A változás</w:t>
      </w:r>
      <w:r w:rsidR="008B20BD" w:rsidRPr="0052169E">
        <w:rPr>
          <w:rFonts w:ascii="Garamond" w:hAnsi="Garamond"/>
          <w:sz w:val="22"/>
          <w:szCs w:val="22"/>
        </w:rPr>
        <w:t>t</w:t>
      </w:r>
      <w:r w:rsidRPr="0052169E">
        <w:rPr>
          <w:rFonts w:ascii="Garamond" w:hAnsi="Garamond"/>
          <w:sz w:val="22"/>
          <w:szCs w:val="22"/>
        </w:rPr>
        <w:t xml:space="preserve"> a nemzeti vagyonnak számító önkormányzati vagyon </w:t>
      </w:r>
      <w:r w:rsidR="002717A7" w:rsidRPr="0052169E">
        <w:rPr>
          <w:rFonts w:ascii="Garamond" w:hAnsi="Garamond"/>
          <w:sz w:val="22"/>
          <w:szCs w:val="22"/>
        </w:rPr>
        <w:t xml:space="preserve">térítésmentesen történő  </w:t>
      </w:r>
      <w:r w:rsidRPr="0052169E">
        <w:rPr>
          <w:rFonts w:ascii="Garamond" w:hAnsi="Garamond"/>
          <w:sz w:val="22"/>
          <w:szCs w:val="22"/>
        </w:rPr>
        <w:t xml:space="preserve">állami kézbe </w:t>
      </w:r>
      <w:r w:rsidR="00987474">
        <w:rPr>
          <w:rFonts w:ascii="Garamond" w:hAnsi="Garamond"/>
          <w:sz w:val="22"/>
          <w:szCs w:val="22"/>
        </w:rPr>
        <w:t xml:space="preserve">jutása </w:t>
      </w:r>
      <w:r w:rsidR="008B20BD" w:rsidRPr="0052169E">
        <w:rPr>
          <w:rFonts w:ascii="Garamond" w:hAnsi="Garamond"/>
          <w:sz w:val="22"/>
          <w:szCs w:val="22"/>
        </w:rPr>
        <w:t xml:space="preserve">hoz, ami nem jár </w:t>
      </w:r>
      <w:r w:rsidR="00E23A23">
        <w:rPr>
          <w:rFonts w:ascii="Garamond" w:hAnsi="Garamond"/>
          <w:sz w:val="22"/>
          <w:szCs w:val="22"/>
        </w:rPr>
        <w:t xml:space="preserve">az </w:t>
      </w:r>
      <w:r w:rsidR="008B20BD" w:rsidRPr="0052169E">
        <w:rPr>
          <w:rFonts w:ascii="Garamond" w:hAnsi="Garamond"/>
          <w:sz w:val="22"/>
          <w:szCs w:val="22"/>
        </w:rPr>
        <w:t>önkormányzati vagyon elvesztésével, mivel az könyvek közötti jóváírással kerül átadás – átvételre</w:t>
      </w:r>
      <w:r w:rsidR="00B04D5B" w:rsidRPr="0052169E">
        <w:rPr>
          <w:rFonts w:ascii="Garamond" w:hAnsi="Garamond"/>
          <w:sz w:val="22"/>
          <w:szCs w:val="22"/>
        </w:rPr>
        <w:t>, köz</w:t>
      </w:r>
      <w:r w:rsidR="00CE73D3" w:rsidRPr="0052169E">
        <w:rPr>
          <w:rFonts w:ascii="Garamond" w:hAnsi="Garamond"/>
          <w:sz w:val="22"/>
          <w:szCs w:val="22"/>
        </w:rPr>
        <w:t xml:space="preserve">célú </w:t>
      </w:r>
      <w:r w:rsidR="00B04D5B" w:rsidRPr="0052169E">
        <w:rPr>
          <w:rFonts w:ascii="Garamond" w:hAnsi="Garamond"/>
          <w:sz w:val="22"/>
          <w:szCs w:val="22"/>
        </w:rPr>
        <w:t xml:space="preserve">adományként. </w:t>
      </w:r>
      <w:r w:rsidR="00E23A23">
        <w:rPr>
          <w:rFonts w:ascii="Garamond" w:hAnsi="Garamond"/>
          <w:sz w:val="22"/>
          <w:szCs w:val="22"/>
        </w:rPr>
        <w:t>Az átadás</w:t>
      </w:r>
      <w:r w:rsidR="00987474">
        <w:rPr>
          <w:rFonts w:ascii="Garamond" w:hAnsi="Garamond"/>
          <w:sz w:val="22"/>
          <w:szCs w:val="22"/>
        </w:rPr>
        <w:t>,</w:t>
      </w:r>
      <w:r w:rsidR="00E23A23">
        <w:rPr>
          <w:rFonts w:ascii="Garamond" w:hAnsi="Garamond"/>
          <w:sz w:val="22"/>
          <w:szCs w:val="22"/>
        </w:rPr>
        <w:t xml:space="preserve">  átvételi eljárás</w:t>
      </w:r>
      <w:r w:rsidR="00E671C7">
        <w:rPr>
          <w:rFonts w:ascii="Garamond" w:hAnsi="Garamond"/>
          <w:sz w:val="22"/>
          <w:szCs w:val="22"/>
        </w:rPr>
        <w:t xml:space="preserve"> a lakosság számára nem jelent jogvesztést</w:t>
      </w:r>
      <w:r w:rsidR="00987474">
        <w:rPr>
          <w:rFonts w:ascii="Garamond" w:hAnsi="Garamond"/>
          <w:sz w:val="22"/>
          <w:szCs w:val="22"/>
        </w:rPr>
        <w:t>, mert</w:t>
      </w:r>
      <w:r w:rsidR="00E671C7">
        <w:rPr>
          <w:rFonts w:ascii="Garamond" w:hAnsi="Garamond"/>
          <w:sz w:val="22"/>
          <w:szCs w:val="22"/>
        </w:rPr>
        <w:t xml:space="preserve"> a közszolgáltató </w:t>
      </w:r>
      <w:r w:rsidR="00D548A5">
        <w:rPr>
          <w:rFonts w:ascii="Garamond" w:hAnsi="Garamond"/>
          <w:sz w:val="22"/>
          <w:szCs w:val="22"/>
        </w:rPr>
        <w:t xml:space="preserve">számára </w:t>
      </w:r>
      <w:r w:rsidR="00E671C7">
        <w:rPr>
          <w:rFonts w:ascii="Garamond" w:hAnsi="Garamond"/>
          <w:sz w:val="22"/>
          <w:szCs w:val="22"/>
        </w:rPr>
        <w:t>jól felfogott pénzügyi érdek az átadott vagyon hatékony, költség</w:t>
      </w:r>
      <w:r w:rsidR="00987474">
        <w:rPr>
          <w:rFonts w:ascii="Garamond" w:hAnsi="Garamond"/>
          <w:sz w:val="22"/>
          <w:szCs w:val="22"/>
        </w:rPr>
        <w:t>ta</w:t>
      </w:r>
      <w:r w:rsidR="00E671C7">
        <w:rPr>
          <w:rFonts w:ascii="Garamond" w:hAnsi="Garamond"/>
          <w:sz w:val="22"/>
          <w:szCs w:val="22"/>
        </w:rPr>
        <w:t>karékos hasznosítása</w:t>
      </w:r>
      <w:r w:rsidR="00D548A5">
        <w:rPr>
          <w:rFonts w:ascii="Garamond" w:hAnsi="Garamond"/>
          <w:sz w:val="22"/>
          <w:szCs w:val="22"/>
        </w:rPr>
        <w:t xml:space="preserve"> és az </w:t>
      </w:r>
      <w:r w:rsidR="008B20BD" w:rsidRPr="0052169E">
        <w:rPr>
          <w:rFonts w:ascii="Garamond" w:hAnsi="Garamond"/>
          <w:sz w:val="22"/>
          <w:szCs w:val="22"/>
        </w:rPr>
        <w:t xml:space="preserve"> </w:t>
      </w:r>
      <w:r w:rsidR="00987474">
        <w:rPr>
          <w:rFonts w:ascii="Garamond" w:hAnsi="Garamond"/>
          <w:sz w:val="22"/>
          <w:szCs w:val="22"/>
        </w:rPr>
        <w:t>által kitermelt haszon megtartása</w:t>
      </w:r>
      <w:r w:rsidR="00D548A5">
        <w:rPr>
          <w:rFonts w:ascii="Garamond" w:hAnsi="Garamond"/>
          <w:sz w:val="22"/>
          <w:szCs w:val="22"/>
        </w:rPr>
        <w:t>, amely</w:t>
      </w:r>
      <w:r w:rsidR="00987474">
        <w:rPr>
          <w:rFonts w:ascii="Garamond" w:hAnsi="Garamond"/>
          <w:sz w:val="22"/>
          <w:szCs w:val="22"/>
        </w:rPr>
        <w:t xml:space="preserve"> </w:t>
      </w:r>
      <w:r w:rsidR="00D548A5">
        <w:rPr>
          <w:rFonts w:ascii="Garamond" w:hAnsi="Garamond"/>
          <w:sz w:val="22"/>
          <w:szCs w:val="22"/>
        </w:rPr>
        <w:t>a település víziközmű vagyonának hosszútávú működtetését</w:t>
      </w:r>
      <w:r w:rsidR="00987474">
        <w:rPr>
          <w:rFonts w:ascii="Garamond" w:hAnsi="Garamond"/>
          <w:sz w:val="22"/>
          <w:szCs w:val="22"/>
        </w:rPr>
        <w:t xml:space="preserve">  </w:t>
      </w:r>
      <w:r w:rsidR="00D548A5">
        <w:rPr>
          <w:rFonts w:ascii="Garamond" w:hAnsi="Garamond"/>
          <w:sz w:val="22"/>
          <w:szCs w:val="22"/>
        </w:rPr>
        <w:t>eredményezi</w:t>
      </w:r>
      <w:r w:rsidR="0078712F">
        <w:rPr>
          <w:rFonts w:ascii="Garamond" w:hAnsi="Garamond"/>
          <w:sz w:val="22"/>
          <w:szCs w:val="22"/>
        </w:rPr>
        <w:t>.</w:t>
      </w:r>
    </w:p>
    <w:p w14:paraId="6FF9075E" w14:textId="332AC1A7" w:rsidR="00E56DDA" w:rsidRPr="0052169E" w:rsidRDefault="00E56DDA" w:rsidP="006A577A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>Gazdasági:</w:t>
      </w:r>
      <w:r w:rsidRPr="0052169E">
        <w:rPr>
          <w:rFonts w:ascii="Garamond" w:hAnsi="Garamond"/>
          <w:sz w:val="22"/>
          <w:szCs w:val="22"/>
        </w:rPr>
        <w:tab/>
        <w:t xml:space="preserve">a   település  lakosságára e rendelet gazdasági hatást több irányban is kifejt, hiszen aki igénybe veszi az önkormányzat tulajdonában lévő, a nemzeti vagyon részét képező korlátozottan forgalomképes vagyonelemeket, vagy a törzsvagyon részét képező, kizárólag az önkormányzat tulajdonában lévő forgalomképtelen </w:t>
      </w:r>
      <w:r w:rsidRPr="0052169E">
        <w:rPr>
          <w:rFonts w:ascii="Garamond" w:hAnsi="Garamond"/>
          <w:i/>
          <w:sz w:val="22"/>
          <w:szCs w:val="22"/>
        </w:rPr>
        <w:t>utakat, tereket, parkolásra alkalmas közterületeket</w:t>
      </w:r>
      <w:r w:rsidRPr="0052169E">
        <w:rPr>
          <w:rFonts w:ascii="Garamond" w:hAnsi="Garamond"/>
          <w:sz w:val="22"/>
          <w:szCs w:val="22"/>
        </w:rPr>
        <w:t>,  tudja értékelni annak mibenlétét</w:t>
      </w:r>
      <w:r w:rsidR="0078712F">
        <w:rPr>
          <w:rFonts w:ascii="Garamond" w:hAnsi="Garamond"/>
          <w:sz w:val="22"/>
          <w:szCs w:val="22"/>
        </w:rPr>
        <w:t>.</w:t>
      </w:r>
      <w:r w:rsidRPr="0052169E">
        <w:rPr>
          <w:rFonts w:ascii="Garamond" w:hAnsi="Garamond"/>
          <w:sz w:val="22"/>
          <w:szCs w:val="22"/>
        </w:rPr>
        <w:t xml:space="preserve"> </w:t>
      </w:r>
      <w:r w:rsidR="0078712F">
        <w:rPr>
          <w:rFonts w:ascii="Garamond" w:hAnsi="Garamond"/>
          <w:sz w:val="22"/>
          <w:szCs w:val="22"/>
        </w:rPr>
        <w:t>K</w:t>
      </w:r>
      <w:r w:rsidRPr="0052169E">
        <w:rPr>
          <w:rFonts w:ascii="Garamond" w:hAnsi="Garamond"/>
          <w:sz w:val="22"/>
          <w:szCs w:val="22"/>
        </w:rPr>
        <w:t xml:space="preserve">onkrétan nem mindegy, hogy szilárdburkolattal ellátott, vagy földút mellett éli mindennapjait a település lakossága, sem életszínvonalban, sem a közösségi vagyonhoz való hozzájárulásként megjelenő adók befizetése </w:t>
      </w:r>
      <w:r w:rsidR="0078712F">
        <w:rPr>
          <w:rFonts w:ascii="Garamond" w:hAnsi="Garamond"/>
          <w:sz w:val="22"/>
          <w:szCs w:val="22"/>
        </w:rPr>
        <w:t>okán</w:t>
      </w:r>
      <w:r w:rsidRPr="0052169E">
        <w:rPr>
          <w:rFonts w:ascii="Garamond" w:hAnsi="Garamond"/>
          <w:sz w:val="22"/>
          <w:szCs w:val="22"/>
        </w:rPr>
        <w:t>. Az önkormányzat éves költségvetése szab határt a vagyongazdálkodás terén a középtávú tervek megvalósíthatóságának, a központi támogatások, a pályázatokon való sikeres részvétel jelenthet előrelépést a település vagyonának gyarapodása  terén, kiegészülve a takarékos gazdálkodással.</w:t>
      </w:r>
    </w:p>
    <w:p w14:paraId="3F9C852E" w14:textId="3B38062F" w:rsidR="00E56DDA" w:rsidRPr="0052169E" w:rsidRDefault="00E56DDA" w:rsidP="006A577A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 xml:space="preserve">Költségvetési: </w:t>
      </w:r>
      <w:r w:rsidRPr="0052169E">
        <w:rPr>
          <w:rFonts w:ascii="Garamond" w:hAnsi="Garamond"/>
          <w:b/>
          <w:i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 xml:space="preserve">az önkormányzat adott éves költségvetésének komoly anyagi megterhelést jelent a településen a </w:t>
      </w:r>
      <w:r w:rsidRPr="0052169E">
        <w:rPr>
          <w:rFonts w:ascii="Garamond" w:hAnsi="Garamond"/>
          <w:i/>
          <w:sz w:val="22"/>
          <w:szCs w:val="22"/>
        </w:rPr>
        <w:t xml:space="preserve">kizárólagos önkormányzati tulajdonba sorolt forgalomképtelen vagyontárgyak </w:t>
      </w:r>
      <w:r w:rsidRPr="0052169E">
        <w:rPr>
          <w:rFonts w:ascii="Garamond" w:hAnsi="Garamond"/>
          <w:sz w:val="22"/>
          <w:szCs w:val="22"/>
        </w:rPr>
        <w:t>fenntartására fordítandó önkormányzati saját anyagi forrás biztosítása</w:t>
      </w:r>
      <w:r w:rsidR="008356B4" w:rsidRPr="0052169E">
        <w:rPr>
          <w:rFonts w:ascii="Garamond" w:hAnsi="Garamond"/>
          <w:sz w:val="22"/>
          <w:szCs w:val="22"/>
        </w:rPr>
        <w:t>.</w:t>
      </w:r>
      <w:r w:rsidRPr="0052169E">
        <w:rPr>
          <w:rFonts w:ascii="Garamond" w:hAnsi="Garamond"/>
          <w:sz w:val="22"/>
          <w:szCs w:val="22"/>
        </w:rPr>
        <w:t xml:space="preserve"> Ebből ered, hogy az önkormányzat éves költségvetésében szerény összeg áll ahhoz rendelkezésre, hogy az önkormányzat az esetleges pályázaton saját anyagi forrást tudjon hozzárendelni ahhoz, hogy a közösségi vagyon gyarapításával oldja a társadalmi feszültségeket, a meglévő esélyegyenlőtlenségeket tompítsa. </w:t>
      </w:r>
      <w:r w:rsidR="008356B4" w:rsidRPr="0052169E">
        <w:rPr>
          <w:rFonts w:ascii="Garamond" w:hAnsi="Garamond"/>
          <w:sz w:val="22"/>
          <w:szCs w:val="22"/>
        </w:rPr>
        <w:t xml:space="preserve">A </w:t>
      </w:r>
      <w:r w:rsidR="008356B4" w:rsidRPr="0052169E">
        <w:rPr>
          <w:rFonts w:ascii="Garamond" w:hAnsi="Garamond"/>
          <w:i/>
          <w:iCs/>
          <w:sz w:val="22"/>
          <w:szCs w:val="22"/>
        </w:rPr>
        <w:t xml:space="preserve">korlátozottan forgalomképes vagyontárgyak közé </w:t>
      </w:r>
      <w:r w:rsidR="008356B4" w:rsidRPr="0052169E">
        <w:rPr>
          <w:rFonts w:ascii="Garamond" w:hAnsi="Garamond"/>
          <w:sz w:val="22"/>
          <w:szCs w:val="22"/>
        </w:rPr>
        <w:t>sorolt, a Magyar Államnak térítésmentesen, feladatellátással együtt</w:t>
      </w:r>
      <w:r w:rsidR="00180D68" w:rsidRPr="0052169E">
        <w:rPr>
          <w:rFonts w:ascii="Garamond" w:hAnsi="Garamond"/>
          <w:sz w:val="22"/>
          <w:szCs w:val="22"/>
        </w:rPr>
        <w:t xml:space="preserve"> közcélú adományként</w:t>
      </w:r>
      <w:r w:rsidR="008356B4" w:rsidRPr="0052169E">
        <w:rPr>
          <w:rFonts w:ascii="Garamond" w:hAnsi="Garamond"/>
          <w:sz w:val="22"/>
          <w:szCs w:val="22"/>
        </w:rPr>
        <w:t xml:space="preserve"> átadott vagyon</w:t>
      </w:r>
      <w:r w:rsidR="001A3C75" w:rsidRPr="0052169E">
        <w:rPr>
          <w:rFonts w:ascii="Garamond" w:hAnsi="Garamond"/>
          <w:sz w:val="22"/>
          <w:szCs w:val="22"/>
        </w:rPr>
        <w:t xml:space="preserve"> körébe tartozó</w:t>
      </w:r>
      <w:r w:rsidR="008356B4" w:rsidRPr="0052169E">
        <w:rPr>
          <w:rFonts w:ascii="Garamond" w:hAnsi="Garamond"/>
          <w:sz w:val="22"/>
          <w:szCs w:val="22"/>
        </w:rPr>
        <w:t xml:space="preserve"> minden vízművel és a szennyvízkezeléssel összefüggő ingatlan a nemzeti vagyon része volt eddig is és </w:t>
      </w:r>
      <w:r w:rsidR="006A577A" w:rsidRPr="0052169E">
        <w:rPr>
          <w:rFonts w:ascii="Garamond" w:hAnsi="Garamond"/>
          <w:sz w:val="22"/>
          <w:szCs w:val="22"/>
        </w:rPr>
        <w:t>a jövőben is</w:t>
      </w:r>
      <w:r w:rsidR="00180D68" w:rsidRPr="0052169E">
        <w:rPr>
          <w:rFonts w:ascii="Garamond" w:hAnsi="Garamond"/>
          <w:sz w:val="22"/>
          <w:szCs w:val="22"/>
        </w:rPr>
        <w:t xml:space="preserve"> az lesz</w:t>
      </w:r>
      <w:r w:rsidR="006A577A" w:rsidRPr="0052169E">
        <w:rPr>
          <w:rFonts w:ascii="Garamond" w:hAnsi="Garamond"/>
          <w:sz w:val="22"/>
          <w:szCs w:val="22"/>
        </w:rPr>
        <w:t xml:space="preserve">. A </w:t>
      </w:r>
      <w:r w:rsidR="00726A80" w:rsidRPr="0052169E">
        <w:rPr>
          <w:rFonts w:ascii="Garamond" w:hAnsi="Garamond"/>
          <w:sz w:val="22"/>
          <w:szCs w:val="22"/>
        </w:rPr>
        <w:t xml:space="preserve">könyvértéken 1.401.428.307.- Ft összértékű </w:t>
      </w:r>
      <w:r w:rsidR="006A577A" w:rsidRPr="0052169E">
        <w:rPr>
          <w:rFonts w:ascii="Garamond" w:hAnsi="Garamond"/>
          <w:sz w:val="22"/>
          <w:szCs w:val="22"/>
        </w:rPr>
        <w:t>vagyon</w:t>
      </w:r>
      <w:r w:rsidR="00726A80" w:rsidRPr="0052169E">
        <w:rPr>
          <w:rFonts w:ascii="Garamond" w:hAnsi="Garamond"/>
          <w:sz w:val="22"/>
          <w:szCs w:val="22"/>
        </w:rPr>
        <w:t xml:space="preserve"> </w:t>
      </w:r>
      <w:r w:rsidR="0086709F" w:rsidRPr="0052169E">
        <w:rPr>
          <w:rFonts w:ascii="Garamond" w:hAnsi="Garamond"/>
          <w:sz w:val="22"/>
          <w:szCs w:val="22"/>
        </w:rPr>
        <w:t>(</w:t>
      </w:r>
      <w:r w:rsidR="00726A80" w:rsidRPr="0052169E">
        <w:rPr>
          <w:rFonts w:ascii="Garamond" w:hAnsi="Garamond"/>
          <w:sz w:val="22"/>
          <w:szCs w:val="22"/>
        </w:rPr>
        <w:t>a Magyar Állam megbízásából</w:t>
      </w:r>
      <w:r w:rsidR="0086709F" w:rsidRPr="0052169E">
        <w:rPr>
          <w:rFonts w:ascii="Garamond" w:hAnsi="Garamond"/>
          <w:sz w:val="22"/>
          <w:szCs w:val="22"/>
        </w:rPr>
        <w:t>)</w:t>
      </w:r>
      <w:r w:rsidR="00726A80" w:rsidRPr="0052169E">
        <w:rPr>
          <w:rFonts w:ascii="Garamond" w:hAnsi="Garamond"/>
          <w:sz w:val="22"/>
          <w:szCs w:val="22"/>
        </w:rPr>
        <w:t xml:space="preserve"> </w:t>
      </w:r>
      <w:r w:rsidR="006A577A" w:rsidRPr="0052169E">
        <w:rPr>
          <w:rFonts w:ascii="Garamond" w:hAnsi="Garamond"/>
          <w:sz w:val="22"/>
          <w:szCs w:val="22"/>
        </w:rPr>
        <w:t>Nemzeti Víz</w:t>
      </w:r>
      <w:r w:rsidR="00AF3FDA" w:rsidRPr="0052169E">
        <w:rPr>
          <w:rFonts w:ascii="Garamond" w:hAnsi="Garamond"/>
          <w:sz w:val="22"/>
          <w:szCs w:val="22"/>
        </w:rPr>
        <w:t>iköz</w:t>
      </w:r>
      <w:r w:rsidR="006A577A" w:rsidRPr="0052169E">
        <w:rPr>
          <w:rFonts w:ascii="Garamond" w:hAnsi="Garamond"/>
          <w:sz w:val="22"/>
          <w:szCs w:val="22"/>
        </w:rPr>
        <w:t>mű</w:t>
      </w:r>
      <w:r w:rsidR="00AF3FDA" w:rsidRPr="0052169E">
        <w:rPr>
          <w:rFonts w:ascii="Garamond" w:hAnsi="Garamond"/>
          <w:sz w:val="22"/>
          <w:szCs w:val="22"/>
        </w:rPr>
        <w:t xml:space="preserve"> Zrt.</w:t>
      </w:r>
      <w:r w:rsidR="006A577A" w:rsidRPr="0052169E">
        <w:rPr>
          <w:rFonts w:ascii="Garamond" w:hAnsi="Garamond"/>
          <w:sz w:val="22"/>
          <w:szCs w:val="22"/>
        </w:rPr>
        <w:t xml:space="preserve"> általi </w:t>
      </w:r>
      <w:r w:rsidR="008356B4" w:rsidRPr="0052169E">
        <w:rPr>
          <w:rFonts w:ascii="Garamond" w:hAnsi="Garamond"/>
          <w:sz w:val="22"/>
          <w:szCs w:val="22"/>
        </w:rPr>
        <w:t xml:space="preserve">működtetése jelentős </w:t>
      </w:r>
      <w:r w:rsidR="006A577A" w:rsidRPr="0052169E">
        <w:rPr>
          <w:rFonts w:ascii="Garamond" w:hAnsi="Garamond"/>
          <w:sz w:val="22"/>
          <w:szCs w:val="22"/>
        </w:rPr>
        <w:t xml:space="preserve">anyagi </w:t>
      </w:r>
      <w:r w:rsidR="00DB7961">
        <w:rPr>
          <w:rFonts w:ascii="Garamond" w:hAnsi="Garamond"/>
          <w:sz w:val="22"/>
          <w:szCs w:val="22"/>
        </w:rPr>
        <w:t>megtakarítást hoz</w:t>
      </w:r>
      <w:r w:rsidR="008356B4" w:rsidRPr="0052169E">
        <w:rPr>
          <w:rFonts w:ascii="Garamond" w:hAnsi="Garamond"/>
          <w:sz w:val="22"/>
          <w:szCs w:val="22"/>
        </w:rPr>
        <w:t xml:space="preserve"> az </w:t>
      </w:r>
      <w:r w:rsidR="005A27AB" w:rsidRPr="0052169E">
        <w:rPr>
          <w:rFonts w:ascii="Garamond" w:hAnsi="Garamond"/>
          <w:sz w:val="22"/>
          <w:szCs w:val="22"/>
        </w:rPr>
        <w:t>önkormányzat költségvetése kiadási tételei soráb</w:t>
      </w:r>
      <w:r w:rsidR="00DB7961">
        <w:rPr>
          <w:rFonts w:ascii="Garamond" w:hAnsi="Garamond"/>
          <w:sz w:val="22"/>
          <w:szCs w:val="22"/>
        </w:rPr>
        <w:t xml:space="preserve">an pl. </w:t>
      </w:r>
      <w:r w:rsidR="006A577A" w:rsidRPr="0052169E">
        <w:rPr>
          <w:rFonts w:ascii="Garamond" w:hAnsi="Garamond"/>
          <w:sz w:val="22"/>
          <w:szCs w:val="22"/>
        </w:rPr>
        <w:t xml:space="preserve">a szennyvíztelep </w:t>
      </w:r>
      <w:r w:rsidR="0086709F" w:rsidRPr="0052169E">
        <w:rPr>
          <w:rFonts w:ascii="Garamond" w:hAnsi="Garamond"/>
          <w:sz w:val="22"/>
          <w:szCs w:val="22"/>
        </w:rPr>
        <w:t xml:space="preserve">már előre látható </w:t>
      </w:r>
      <w:r w:rsidR="006A577A" w:rsidRPr="0052169E">
        <w:rPr>
          <w:rFonts w:ascii="Garamond" w:hAnsi="Garamond"/>
          <w:sz w:val="22"/>
          <w:szCs w:val="22"/>
        </w:rPr>
        <w:t>folyamatos karbantartása, esedékes felújítása</w:t>
      </w:r>
      <w:r w:rsidR="00180D68" w:rsidRPr="0052169E">
        <w:rPr>
          <w:rFonts w:ascii="Garamond" w:hAnsi="Garamond"/>
          <w:sz w:val="22"/>
          <w:szCs w:val="22"/>
        </w:rPr>
        <w:t xml:space="preserve"> végrehajtása</w:t>
      </w:r>
      <w:r w:rsidR="00AF3FDA" w:rsidRPr="0052169E">
        <w:rPr>
          <w:rFonts w:ascii="Garamond" w:hAnsi="Garamond"/>
          <w:sz w:val="22"/>
          <w:szCs w:val="22"/>
        </w:rPr>
        <w:t xml:space="preserve"> </w:t>
      </w:r>
      <w:r w:rsidR="0086709F" w:rsidRPr="0052169E">
        <w:rPr>
          <w:rFonts w:ascii="Garamond" w:hAnsi="Garamond"/>
          <w:sz w:val="22"/>
          <w:szCs w:val="22"/>
        </w:rPr>
        <w:t>magas összegű költségeinek megtakarítása által.</w:t>
      </w:r>
      <w:r w:rsidRPr="0052169E">
        <w:rPr>
          <w:rFonts w:ascii="Garamond" w:hAnsi="Garamond"/>
          <w:sz w:val="22"/>
          <w:szCs w:val="22"/>
        </w:rPr>
        <w:t xml:space="preserve"> </w:t>
      </w:r>
    </w:p>
    <w:p w14:paraId="72ADFC11" w14:textId="61C93631" w:rsidR="00E56DDA" w:rsidRPr="0052169E" w:rsidRDefault="00E56DDA" w:rsidP="00180D68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>Környezeti:</w:t>
      </w:r>
      <w:r w:rsidRPr="0052169E">
        <w:rPr>
          <w:rFonts w:ascii="Garamond" w:hAnsi="Garamond"/>
          <w:sz w:val="22"/>
          <w:szCs w:val="22"/>
        </w:rPr>
        <w:tab/>
        <w:t xml:space="preserve">e rendeletben direkt módon  nem szerepel az érintettek környezetére hatást gyakorló rendelkezés, viszont minden vagyonelem hordoz magában környezeti kockázatot, mind </w:t>
      </w:r>
      <w:r w:rsidRPr="0052169E">
        <w:rPr>
          <w:rFonts w:ascii="Garamond" w:hAnsi="Garamond"/>
          <w:sz w:val="22"/>
          <w:szCs w:val="22"/>
        </w:rPr>
        <w:lastRenderedPageBreak/>
        <w:t>az épített, mind a természeti környezet esetében egyaránt, mivel a fenntartható fejlődés érdekében nem elhanyagolható szempont a jövő generációja számára az örökül hagyott vagyon milyensége.</w:t>
      </w:r>
      <w:r w:rsidR="0086709F" w:rsidRPr="0052169E">
        <w:rPr>
          <w:rFonts w:ascii="Garamond" w:hAnsi="Garamond"/>
          <w:sz w:val="22"/>
          <w:szCs w:val="22"/>
        </w:rPr>
        <w:t xml:space="preserve"> Az NVZrt. és a víziközmű feladatot közszolgáltatóként végző </w:t>
      </w:r>
      <w:r w:rsidR="00A750F9" w:rsidRPr="0052169E">
        <w:rPr>
          <w:rFonts w:ascii="Garamond" w:hAnsi="Garamond"/>
          <w:sz w:val="22"/>
          <w:szCs w:val="22"/>
        </w:rPr>
        <w:t>feladatellátó műszaki megoldásai nem nélkülözhetik a modern eljárásokat, ezért a fejlesztések hasznosulhatnak a település környezetvédelmében is.</w:t>
      </w:r>
    </w:p>
    <w:p w14:paraId="17AC0786" w14:textId="1B1C8774" w:rsidR="00E56DDA" w:rsidRPr="0052169E" w:rsidRDefault="00E56DDA" w:rsidP="00180D68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>Egészségi:</w:t>
      </w:r>
      <w:r w:rsidRPr="0052169E">
        <w:rPr>
          <w:rFonts w:ascii="Garamond" w:hAnsi="Garamond"/>
          <w:b/>
          <w:i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 xml:space="preserve">e  rendeletben   rögzítettek   kihatással lehetnek a  település   lakossága   egészségi állapotára úgy közvetett, mint közvetlen módon, mivel pl. a helyi orvosi rendelők, a védőnői szolgálat és a fogszakorvosi ellátásnak helyet adó önkormányzati tulajdonú </w:t>
      </w:r>
      <w:r w:rsidRPr="0052169E">
        <w:rPr>
          <w:rFonts w:ascii="Garamond" w:hAnsi="Garamond"/>
          <w:i/>
          <w:sz w:val="22"/>
          <w:szCs w:val="22"/>
        </w:rPr>
        <w:t>épület</w:t>
      </w:r>
      <w:r w:rsidRPr="0052169E">
        <w:rPr>
          <w:rFonts w:ascii="Garamond" w:hAnsi="Garamond"/>
          <w:sz w:val="22"/>
          <w:szCs w:val="22"/>
        </w:rPr>
        <w:t xml:space="preserve"> folyamatos karbantartása, a fenntartási költségeinek viselése nagyban függ az önkormányzat hatékony vagyongazdálkodásától, a működési feltételek folyamatos biztosításához szükséges takarékos megoldások alkalmazásától (energiatakarékosság, külső- belső szigetelés, nyílászárók, stb.).</w:t>
      </w:r>
      <w:r w:rsidR="00A750F9" w:rsidRPr="0052169E">
        <w:rPr>
          <w:rFonts w:ascii="Garamond" w:hAnsi="Garamond"/>
          <w:sz w:val="22"/>
          <w:szCs w:val="22"/>
        </w:rPr>
        <w:t xml:space="preserve"> Nagy terhet vesz le a Magyar Állam az </w:t>
      </w:r>
      <w:r w:rsidR="00A750F9" w:rsidRPr="0052169E">
        <w:rPr>
          <w:rFonts w:ascii="Garamond" w:hAnsi="Garamond"/>
          <w:i/>
          <w:iCs/>
          <w:sz w:val="22"/>
          <w:szCs w:val="22"/>
        </w:rPr>
        <w:t xml:space="preserve">egészséges ivóvízellátás és szennyvízkezelés feladata </w:t>
      </w:r>
      <w:r w:rsidR="00DB047C">
        <w:rPr>
          <w:rFonts w:ascii="Garamond" w:hAnsi="Garamond"/>
          <w:i/>
          <w:iCs/>
          <w:sz w:val="22"/>
          <w:szCs w:val="22"/>
        </w:rPr>
        <w:t xml:space="preserve">önkormányzattól való </w:t>
      </w:r>
      <w:r w:rsidR="00A750F9" w:rsidRPr="0052169E">
        <w:rPr>
          <w:rFonts w:ascii="Garamond" w:hAnsi="Garamond"/>
          <w:i/>
          <w:iCs/>
          <w:sz w:val="22"/>
          <w:szCs w:val="22"/>
        </w:rPr>
        <w:t>átvételével</w:t>
      </w:r>
      <w:r w:rsidR="00571EAF" w:rsidRPr="0052169E">
        <w:rPr>
          <w:rFonts w:ascii="Garamond" w:hAnsi="Garamond"/>
          <w:i/>
          <w:iCs/>
          <w:sz w:val="22"/>
          <w:szCs w:val="22"/>
        </w:rPr>
        <w:t xml:space="preserve">, </w:t>
      </w:r>
      <w:r w:rsidR="00571EAF" w:rsidRPr="0052169E">
        <w:rPr>
          <w:rFonts w:ascii="Garamond" w:hAnsi="Garamond"/>
          <w:sz w:val="22"/>
          <w:szCs w:val="22"/>
        </w:rPr>
        <w:t xml:space="preserve">mert az ellátási felelősség már nem az önkormányzatot, hanem a feladattal megbízottat kötelezi a közszolgáltatás </w:t>
      </w:r>
      <w:r w:rsidR="001649ED" w:rsidRPr="0052169E">
        <w:rPr>
          <w:rFonts w:ascii="Garamond" w:hAnsi="Garamond"/>
          <w:sz w:val="22"/>
          <w:szCs w:val="22"/>
        </w:rPr>
        <w:t>folyamatos biztosítása terén.</w:t>
      </w:r>
      <w:r w:rsidR="00571EAF" w:rsidRPr="0052169E">
        <w:rPr>
          <w:rFonts w:ascii="Garamond" w:hAnsi="Garamond"/>
          <w:sz w:val="22"/>
          <w:szCs w:val="22"/>
        </w:rPr>
        <w:t xml:space="preserve">  </w:t>
      </w:r>
    </w:p>
    <w:p w14:paraId="3DA95029" w14:textId="74E5FD27" w:rsidR="00E56DDA" w:rsidRPr="0052169E" w:rsidRDefault="00E56DDA" w:rsidP="00180D68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>Adminisztratív:</w:t>
      </w:r>
      <w:r w:rsidRPr="0052169E">
        <w:rPr>
          <w:rFonts w:ascii="Garamond" w:hAnsi="Garamond"/>
          <w:sz w:val="22"/>
          <w:szCs w:val="22"/>
        </w:rPr>
        <w:tab/>
      </w:r>
      <w:r w:rsidR="001649ED" w:rsidRPr="0052169E">
        <w:rPr>
          <w:rFonts w:ascii="Garamond" w:hAnsi="Garamond"/>
          <w:sz w:val="22"/>
          <w:szCs w:val="22"/>
        </w:rPr>
        <w:t>az önkormányzati vagyon ellátotti felelősnek való átadása folyamata egyik döntési szakasza</w:t>
      </w:r>
      <w:r w:rsidR="00DB047C">
        <w:rPr>
          <w:rFonts w:ascii="Garamond" w:hAnsi="Garamond"/>
          <w:sz w:val="22"/>
          <w:szCs w:val="22"/>
        </w:rPr>
        <w:t>, a</w:t>
      </w:r>
      <w:r w:rsidR="001649ED" w:rsidRPr="0052169E">
        <w:rPr>
          <w:rFonts w:ascii="Garamond" w:hAnsi="Garamond"/>
          <w:sz w:val="22"/>
          <w:szCs w:val="22"/>
        </w:rPr>
        <w:t xml:space="preserve"> tulajdonjog változás tranzakciós szerződés</w:t>
      </w:r>
      <w:r w:rsidR="00C37559">
        <w:rPr>
          <w:rFonts w:ascii="Garamond" w:hAnsi="Garamond"/>
          <w:sz w:val="22"/>
          <w:szCs w:val="22"/>
        </w:rPr>
        <w:t xml:space="preserve"> kötésével</w:t>
      </w:r>
      <w:r w:rsidR="001649ED" w:rsidRPr="0052169E">
        <w:rPr>
          <w:rFonts w:ascii="Garamond" w:hAnsi="Garamond"/>
          <w:sz w:val="22"/>
          <w:szCs w:val="22"/>
        </w:rPr>
        <w:t xml:space="preserve"> </w:t>
      </w:r>
      <w:r w:rsidR="00DB047C">
        <w:rPr>
          <w:rFonts w:ascii="Garamond" w:hAnsi="Garamond"/>
          <w:sz w:val="22"/>
          <w:szCs w:val="22"/>
        </w:rPr>
        <w:t>le</w:t>
      </w:r>
      <w:r w:rsidR="001649ED" w:rsidRPr="0052169E">
        <w:rPr>
          <w:rFonts w:ascii="Garamond" w:hAnsi="Garamond"/>
          <w:sz w:val="22"/>
          <w:szCs w:val="22"/>
        </w:rPr>
        <w:t>zárult, melyet</w:t>
      </w:r>
      <w:r w:rsidR="00C37559">
        <w:rPr>
          <w:rFonts w:ascii="Garamond" w:hAnsi="Garamond"/>
          <w:sz w:val="22"/>
          <w:szCs w:val="22"/>
        </w:rPr>
        <w:t xml:space="preserve"> annak</w:t>
      </w:r>
      <w:r w:rsidR="001649ED" w:rsidRPr="0052169E">
        <w:rPr>
          <w:rFonts w:ascii="Garamond" w:hAnsi="Garamond"/>
          <w:sz w:val="22"/>
          <w:szCs w:val="22"/>
        </w:rPr>
        <w:t xml:space="preserve"> az ingatlannyilvántartásba való bejegyzése véglegesített. Az önkormányzat érintett vagyon</w:t>
      </w:r>
      <w:r w:rsidR="00C37559">
        <w:rPr>
          <w:rFonts w:ascii="Garamond" w:hAnsi="Garamond"/>
          <w:sz w:val="22"/>
          <w:szCs w:val="22"/>
        </w:rPr>
        <w:t>a</w:t>
      </w:r>
      <w:r w:rsidR="001649ED" w:rsidRPr="0052169E">
        <w:rPr>
          <w:rFonts w:ascii="Garamond" w:hAnsi="Garamond"/>
          <w:sz w:val="22"/>
          <w:szCs w:val="22"/>
        </w:rPr>
        <w:t xml:space="preserve"> könyvszerinti értéken való átadás – átvétele, az ingatlanok birtokba adása – vétele előkészületei még zajlanak. </w:t>
      </w:r>
      <w:r w:rsidR="00E23D1A" w:rsidRPr="0052169E">
        <w:rPr>
          <w:rFonts w:ascii="Garamond" w:hAnsi="Garamond"/>
          <w:sz w:val="22"/>
          <w:szCs w:val="22"/>
        </w:rPr>
        <w:t>Több olyan intézkedésre i</w:t>
      </w:r>
      <w:r w:rsidR="00BA5EA0" w:rsidRPr="0052169E">
        <w:rPr>
          <w:rFonts w:ascii="Garamond" w:hAnsi="Garamond"/>
          <w:sz w:val="22"/>
          <w:szCs w:val="22"/>
        </w:rPr>
        <w:t>s</w:t>
      </w:r>
      <w:r w:rsidR="00E23D1A" w:rsidRPr="0052169E">
        <w:rPr>
          <w:rFonts w:ascii="Garamond" w:hAnsi="Garamond"/>
          <w:sz w:val="22"/>
          <w:szCs w:val="22"/>
        </w:rPr>
        <w:t xml:space="preserve"> szükség van, amely </w:t>
      </w:r>
      <w:r w:rsidR="00BA5EA0" w:rsidRPr="0052169E">
        <w:rPr>
          <w:rFonts w:ascii="Garamond" w:hAnsi="Garamond"/>
          <w:sz w:val="22"/>
          <w:szCs w:val="22"/>
        </w:rPr>
        <w:t xml:space="preserve">más önkormányzati rendeletet (önkormányzati SZMSZ) érint, a hivatal alapító okirata módosításával, a belső szabályzatokon (hivatali SZMSZ, Pénzügyi Ügyrend) a változások átvezetésével jár, ami további </w:t>
      </w:r>
      <w:r w:rsidR="0062749D">
        <w:rPr>
          <w:rFonts w:ascii="Garamond" w:hAnsi="Garamond"/>
          <w:sz w:val="22"/>
          <w:szCs w:val="22"/>
        </w:rPr>
        <w:t xml:space="preserve">személyi </w:t>
      </w:r>
      <w:r w:rsidR="00BA5EA0" w:rsidRPr="0052169E">
        <w:rPr>
          <w:rFonts w:ascii="Garamond" w:hAnsi="Garamond"/>
          <w:sz w:val="22"/>
          <w:szCs w:val="22"/>
        </w:rPr>
        <w:t>leterhelést jelent.</w:t>
      </w:r>
      <w:r w:rsidR="001649ED" w:rsidRPr="0052169E">
        <w:rPr>
          <w:rFonts w:ascii="Garamond" w:hAnsi="Garamond"/>
          <w:sz w:val="22"/>
          <w:szCs w:val="22"/>
        </w:rPr>
        <w:t xml:space="preserve"> </w:t>
      </w:r>
      <w:r w:rsidRPr="0052169E">
        <w:rPr>
          <w:rFonts w:ascii="Garamond" w:hAnsi="Garamond"/>
          <w:sz w:val="22"/>
          <w:szCs w:val="22"/>
        </w:rPr>
        <w:t xml:space="preserve"> </w:t>
      </w:r>
    </w:p>
    <w:p w14:paraId="2374FC61" w14:textId="77777777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5A02D3A7" w14:textId="5D881571" w:rsidR="00E56DDA" w:rsidRPr="0052169E" w:rsidRDefault="00E56DDA" w:rsidP="00180D68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52169E">
        <w:rPr>
          <w:rFonts w:ascii="Garamond" w:hAnsi="Garamond"/>
          <w:sz w:val="22"/>
          <w:szCs w:val="22"/>
        </w:rPr>
        <w:t xml:space="preserve"> a </w:t>
      </w:r>
      <w:r w:rsidRPr="0052169E">
        <w:rPr>
          <w:rFonts w:ascii="Garamond" w:hAnsi="Garamond"/>
          <w:i/>
          <w:sz w:val="22"/>
          <w:szCs w:val="22"/>
        </w:rPr>
        <w:t>nemzeti vagyonról szóló 2011. évi CXCVI. törvény</w:t>
      </w:r>
      <w:r w:rsidR="0062749D">
        <w:rPr>
          <w:rFonts w:ascii="Garamond" w:hAnsi="Garamond"/>
          <w:i/>
          <w:sz w:val="22"/>
          <w:szCs w:val="22"/>
        </w:rPr>
        <w:t xml:space="preserve">, </w:t>
      </w:r>
      <w:r w:rsidRPr="0052169E">
        <w:rPr>
          <w:rFonts w:ascii="Garamond" w:hAnsi="Garamond"/>
          <w:i/>
          <w:sz w:val="22"/>
          <w:szCs w:val="22"/>
        </w:rPr>
        <w:t xml:space="preserve"> az Mötv. a helyi jogalkotásra kötelezett számára adott felhatalmazás teljesítése, </w:t>
      </w:r>
      <w:r w:rsidRPr="0052169E">
        <w:rPr>
          <w:rFonts w:ascii="Garamond" w:hAnsi="Garamond"/>
          <w:sz w:val="22"/>
          <w:szCs w:val="22"/>
        </w:rPr>
        <w:t>konkrétan az önkormányzat tulajdonában lévő korlátozottan forgalomképes törzsvagyon elemeinek rendeletbe foglalása</w:t>
      </w:r>
      <w:r w:rsidR="0062749D">
        <w:rPr>
          <w:rFonts w:ascii="Garamond" w:hAnsi="Garamond"/>
          <w:sz w:val="22"/>
          <w:szCs w:val="22"/>
        </w:rPr>
        <w:t>.</w:t>
      </w:r>
      <w:r w:rsidRPr="0052169E">
        <w:rPr>
          <w:rFonts w:ascii="Garamond" w:hAnsi="Garamond"/>
          <w:sz w:val="22"/>
          <w:szCs w:val="22"/>
        </w:rPr>
        <w:t xml:space="preserve"> </w:t>
      </w:r>
      <w:r w:rsidR="0062749D">
        <w:rPr>
          <w:rFonts w:ascii="Garamond" w:hAnsi="Garamond"/>
          <w:sz w:val="22"/>
          <w:szCs w:val="22"/>
        </w:rPr>
        <w:t xml:space="preserve">Az önkormányzati vagyon </w:t>
      </w:r>
      <w:r w:rsidRPr="0052169E">
        <w:rPr>
          <w:rFonts w:ascii="Garamond" w:hAnsi="Garamond"/>
          <w:sz w:val="22"/>
          <w:szCs w:val="22"/>
        </w:rPr>
        <w:t>értékesítése esetén értékhatárról való rendelkezés és meghatározott feladatok végrehajtása, konkrétan vagyongazdálkodási-hasznosítási  terv készítése, vagyonkataszter naprakész vezetése, a nyilvánosság biztosítása, valamint kiemelt szempont a jogbiztonság elvének garantálása a központi jogszabályban írt jogalkotási kötelezettség teljesítése által.</w:t>
      </w:r>
      <w:r w:rsidR="00BA5EA0" w:rsidRPr="0052169E">
        <w:rPr>
          <w:rFonts w:ascii="Garamond" w:hAnsi="Garamond"/>
          <w:sz w:val="22"/>
          <w:szCs w:val="22"/>
        </w:rPr>
        <w:t xml:space="preserve"> A közcélú adományként térítésmentesen átadott vízközmű vagyon könyvértéken való kivezetése, ill. bevezetése</w:t>
      </w:r>
      <w:r w:rsidR="001D1902" w:rsidRPr="0052169E">
        <w:rPr>
          <w:rFonts w:ascii="Garamond" w:hAnsi="Garamond"/>
          <w:sz w:val="22"/>
          <w:szCs w:val="22"/>
        </w:rPr>
        <w:t xml:space="preserve"> a </w:t>
      </w:r>
      <w:r w:rsidR="004B6DC9" w:rsidRPr="0052169E">
        <w:rPr>
          <w:rFonts w:ascii="Garamond" w:hAnsi="Garamond"/>
          <w:sz w:val="22"/>
          <w:szCs w:val="22"/>
        </w:rPr>
        <w:t>víziközmű szolgáltatásról szóló 2011. évi CCIX. törvényben foglaltak szerinti eljárásrendben való végrehajtása elkerülhetetlenné teszi a tárgyi önkormányzati rendelet módosítását, benne a 2. mellékletben található víziközmű va</w:t>
      </w:r>
      <w:r w:rsidR="00710298">
        <w:rPr>
          <w:rFonts w:ascii="Garamond" w:hAnsi="Garamond"/>
          <w:sz w:val="22"/>
          <w:szCs w:val="22"/>
        </w:rPr>
        <w:t>gyon</w:t>
      </w:r>
      <w:r w:rsidR="00A470CF" w:rsidRPr="0052169E">
        <w:rPr>
          <w:rFonts w:ascii="Garamond" w:hAnsi="Garamond"/>
          <w:sz w:val="22"/>
          <w:szCs w:val="22"/>
        </w:rPr>
        <w:t xml:space="preserve"> tételsorának hatályon kívül helyezését</w:t>
      </w:r>
      <w:r w:rsidR="00624CC9">
        <w:rPr>
          <w:rFonts w:ascii="Garamond" w:hAnsi="Garamond"/>
          <w:sz w:val="22"/>
          <w:szCs w:val="22"/>
        </w:rPr>
        <w:t xml:space="preserve">, </w:t>
      </w:r>
      <w:r w:rsidR="00710298">
        <w:rPr>
          <w:rFonts w:ascii="Garamond" w:hAnsi="Garamond"/>
          <w:sz w:val="22"/>
          <w:szCs w:val="22"/>
        </w:rPr>
        <w:t>továbbá a felülvizsgálat keretében elvégzett módosítások  1.</w:t>
      </w:r>
      <w:r w:rsidR="00624CC9">
        <w:rPr>
          <w:rFonts w:ascii="Garamond" w:hAnsi="Garamond"/>
          <w:sz w:val="22"/>
          <w:szCs w:val="22"/>
        </w:rPr>
        <w:t xml:space="preserve"> melléklet</w:t>
      </w:r>
      <w:r w:rsidR="00710298">
        <w:rPr>
          <w:rFonts w:ascii="Garamond" w:hAnsi="Garamond"/>
          <w:sz w:val="22"/>
          <w:szCs w:val="22"/>
        </w:rPr>
        <w:t>ben való</w:t>
      </w:r>
      <w:r w:rsidR="00624CC9">
        <w:rPr>
          <w:rFonts w:ascii="Garamond" w:hAnsi="Garamond"/>
          <w:sz w:val="22"/>
          <w:szCs w:val="22"/>
        </w:rPr>
        <w:t xml:space="preserve"> cseréjét.</w:t>
      </w:r>
    </w:p>
    <w:p w14:paraId="397E9345" w14:textId="77777777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E4A398" w14:textId="5FF11609" w:rsidR="00E56DDA" w:rsidRPr="0052169E" w:rsidRDefault="00E56DDA" w:rsidP="00180D68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52169E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52169E">
        <w:rPr>
          <w:rFonts w:ascii="Garamond" w:hAnsi="Garamond"/>
          <w:sz w:val="22"/>
          <w:szCs w:val="22"/>
        </w:rPr>
        <w:t xml:space="preserve"> tekintettel arra, hogy a jogalkotásról szóló törvény, a nemzeti vagyonról szóló törvény</w:t>
      </w:r>
      <w:r w:rsidR="00624CC9">
        <w:rPr>
          <w:rFonts w:ascii="Garamond" w:hAnsi="Garamond"/>
          <w:sz w:val="22"/>
          <w:szCs w:val="22"/>
        </w:rPr>
        <w:t>, továbbá</w:t>
      </w:r>
      <w:r w:rsidRPr="0052169E">
        <w:rPr>
          <w:rFonts w:ascii="Garamond" w:hAnsi="Garamond"/>
          <w:sz w:val="22"/>
          <w:szCs w:val="22"/>
        </w:rPr>
        <w:t xml:space="preserve"> a Magyarország helyi önkormányzatiról szóló törvény</w:t>
      </w:r>
      <w:r w:rsidR="00A470CF" w:rsidRPr="0052169E">
        <w:rPr>
          <w:rFonts w:ascii="Garamond" w:hAnsi="Garamond"/>
          <w:sz w:val="22"/>
          <w:szCs w:val="22"/>
        </w:rPr>
        <w:t xml:space="preserve">, </w:t>
      </w:r>
      <w:r w:rsidR="00624CC9">
        <w:rPr>
          <w:rFonts w:ascii="Garamond" w:hAnsi="Garamond"/>
          <w:sz w:val="22"/>
          <w:szCs w:val="22"/>
        </w:rPr>
        <w:t xml:space="preserve">valamint </w:t>
      </w:r>
      <w:r w:rsidR="00A470CF" w:rsidRPr="0052169E">
        <w:rPr>
          <w:rFonts w:ascii="Garamond" w:hAnsi="Garamond"/>
          <w:sz w:val="22"/>
          <w:szCs w:val="22"/>
        </w:rPr>
        <w:t>a víziközmű szolgáltatásról szóló törvény és erre alapozott szerződés</w:t>
      </w:r>
      <w:r w:rsidRPr="0052169E">
        <w:rPr>
          <w:rFonts w:ascii="Garamond" w:hAnsi="Garamond"/>
          <w:sz w:val="22"/>
          <w:szCs w:val="22"/>
        </w:rPr>
        <w:t xml:space="preserve"> e feladat végrehajtására</w:t>
      </w:r>
      <w:r w:rsidR="00A470CF" w:rsidRPr="0052169E">
        <w:rPr>
          <w:rFonts w:ascii="Garamond" w:hAnsi="Garamond"/>
          <w:sz w:val="22"/>
          <w:szCs w:val="22"/>
        </w:rPr>
        <w:t xml:space="preserve"> </w:t>
      </w:r>
      <w:r w:rsidRPr="0052169E">
        <w:rPr>
          <w:rFonts w:ascii="Garamond" w:hAnsi="Garamond"/>
          <w:sz w:val="22"/>
          <w:szCs w:val="22"/>
        </w:rPr>
        <w:t>kötelezi a jogalkotót, melynek elmaradása esetén (a károk elkerülése érdekében) a Csongrád</w:t>
      </w:r>
      <w:r w:rsidR="00A470CF" w:rsidRPr="0052169E">
        <w:rPr>
          <w:rFonts w:ascii="Garamond" w:hAnsi="Garamond"/>
          <w:sz w:val="22"/>
          <w:szCs w:val="22"/>
        </w:rPr>
        <w:t>-Csanád</w:t>
      </w:r>
      <w:r w:rsidRPr="0052169E">
        <w:rPr>
          <w:rFonts w:ascii="Garamond" w:hAnsi="Garamond"/>
          <w:sz w:val="22"/>
          <w:szCs w:val="22"/>
        </w:rPr>
        <w:t xml:space="preserve"> Megyei Kormányhivatal által az kikényszeríthető</w:t>
      </w:r>
      <w:r w:rsidR="00085C72">
        <w:rPr>
          <w:rFonts w:ascii="Garamond" w:hAnsi="Garamond"/>
          <w:sz w:val="22"/>
          <w:szCs w:val="22"/>
        </w:rPr>
        <w:t>. Ebben az eljárásrendben</w:t>
      </w:r>
      <w:r w:rsidRPr="0052169E">
        <w:rPr>
          <w:rFonts w:ascii="Garamond" w:hAnsi="Garamond"/>
          <w:sz w:val="22"/>
          <w:szCs w:val="22"/>
        </w:rPr>
        <w:t xml:space="preserve"> az önkormányzat helyett </w:t>
      </w:r>
      <w:r w:rsidR="00085C72">
        <w:rPr>
          <w:rFonts w:ascii="Garamond" w:hAnsi="Garamond"/>
          <w:sz w:val="22"/>
          <w:szCs w:val="22"/>
        </w:rPr>
        <w:t xml:space="preserve">a Kormányhivatal </w:t>
      </w:r>
      <w:r w:rsidRPr="0052169E">
        <w:rPr>
          <w:rFonts w:ascii="Garamond" w:hAnsi="Garamond"/>
          <w:sz w:val="22"/>
          <w:szCs w:val="22"/>
        </w:rPr>
        <w:t>által megalkotható jogszabály szerint köteles a további feladata ellátására a jogalkotó és a végrehajtó szerv</w:t>
      </w:r>
      <w:r w:rsidR="00085C72">
        <w:rPr>
          <w:rFonts w:ascii="Garamond" w:hAnsi="Garamond"/>
          <w:sz w:val="22"/>
          <w:szCs w:val="22"/>
        </w:rPr>
        <w:t>e. E</w:t>
      </w:r>
      <w:r w:rsidRPr="0052169E">
        <w:rPr>
          <w:rFonts w:ascii="Garamond" w:hAnsi="Garamond"/>
          <w:sz w:val="22"/>
          <w:szCs w:val="22"/>
        </w:rPr>
        <w:t xml:space="preserve">nnek hiányában jogbizonytalanság keletkezne, </w:t>
      </w:r>
      <w:r w:rsidR="00A470CF" w:rsidRPr="0052169E">
        <w:rPr>
          <w:rFonts w:ascii="Garamond" w:hAnsi="Garamond"/>
          <w:sz w:val="22"/>
          <w:szCs w:val="22"/>
        </w:rPr>
        <w:t>ami veszélyeztet</w:t>
      </w:r>
      <w:r w:rsidR="00085C72">
        <w:rPr>
          <w:rFonts w:ascii="Garamond" w:hAnsi="Garamond"/>
          <w:sz w:val="22"/>
          <w:szCs w:val="22"/>
        </w:rPr>
        <w:t>né</w:t>
      </w:r>
      <w:r w:rsidR="00A470CF" w:rsidRPr="0052169E">
        <w:rPr>
          <w:rFonts w:ascii="Garamond" w:hAnsi="Garamond"/>
          <w:sz w:val="22"/>
          <w:szCs w:val="22"/>
        </w:rPr>
        <w:t xml:space="preserve"> az uniós jogbiztonság elvét, ami akár</w:t>
      </w:r>
      <w:r w:rsidRPr="0052169E">
        <w:rPr>
          <w:rFonts w:ascii="Garamond" w:hAnsi="Garamond"/>
          <w:sz w:val="22"/>
          <w:szCs w:val="22"/>
        </w:rPr>
        <w:t xml:space="preserve"> felügyeleti bírság kiszabás</w:t>
      </w:r>
      <w:r w:rsidR="00A470CF" w:rsidRPr="0052169E">
        <w:rPr>
          <w:rFonts w:ascii="Garamond" w:hAnsi="Garamond"/>
          <w:sz w:val="22"/>
          <w:szCs w:val="22"/>
        </w:rPr>
        <w:t>át is hordozhatja.</w:t>
      </w:r>
    </w:p>
    <w:p w14:paraId="2964DCC8" w14:textId="77777777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D76A0FA" w14:textId="3B01B2E8" w:rsidR="00E56DDA" w:rsidRPr="0052169E" w:rsidRDefault="00E56DDA" w:rsidP="00180D68">
      <w:pPr>
        <w:ind w:left="2160" w:right="143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 w:rsidRPr="0052169E">
        <w:rPr>
          <w:rFonts w:ascii="Garamond" w:hAnsi="Garamond"/>
          <w:sz w:val="22"/>
          <w:szCs w:val="22"/>
        </w:rPr>
        <w:t xml:space="preserve">a meglévő feltételekhez képest a személyi többlet igény belső átszervezéssel </w:t>
      </w:r>
      <w:r w:rsidR="00790FF5" w:rsidRPr="0052169E">
        <w:rPr>
          <w:rFonts w:ascii="Garamond" w:hAnsi="Garamond"/>
          <w:sz w:val="22"/>
          <w:szCs w:val="22"/>
        </w:rPr>
        <w:t>meg</w:t>
      </w:r>
      <w:r w:rsidRPr="0052169E">
        <w:rPr>
          <w:rFonts w:ascii="Garamond" w:hAnsi="Garamond"/>
          <w:sz w:val="22"/>
          <w:szCs w:val="22"/>
        </w:rPr>
        <w:t xml:space="preserve">oldható. </w:t>
      </w:r>
    </w:p>
    <w:p w14:paraId="6B0A52C3" w14:textId="77777777" w:rsidR="00E56DDA" w:rsidRPr="0052169E" w:rsidRDefault="00E56DDA" w:rsidP="00E56DDA">
      <w:pPr>
        <w:ind w:right="-288"/>
        <w:jc w:val="both"/>
        <w:rPr>
          <w:rFonts w:ascii="Garamond" w:hAnsi="Garamond"/>
          <w:sz w:val="22"/>
          <w:szCs w:val="22"/>
        </w:rPr>
      </w:pPr>
    </w:p>
    <w:p w14:paraId="38C255DE" w14:textId="77777777" w:rsidR="00E56DDA" w:rsidRPr="0052169E" w:rsidRDefault="00E56DDA" w:rsidP="00E56DDA">
      <w:pPr>
        <w:ind w:right="-288"/>
        <w:jc w:val="both"/>
        <w:rPr>
          <w:rFonts w:ascii="Garamond" w:hAnsi="Garamond"/>
          <w:sz w:val="22"/>
          <w:szCs w:val="22"/>
        </w:rPr>
      </w:pPr>
    </w:p>
    <w:p w14:paraId="12650556" w14:textId="02CBEF09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>C s a n y t e l e k, 20</w:t>
      </w:r>
      <w:r w:rsidR="00180D68" w:rsidRPr="0052169E">
        <w:rPr>
          <w:rFonts w:ascii="Garamond" w:hAnsi="Garamond"/>
          <w:sz w:val="22"/>
          <w:szCs w:val="22"/>
        </w:rPr>
        <w:t>22</w:t>
      </w:r>
      <w:r w:rsidRPr="0052169E">
        <w:rPr>
          <w:rFonts w:ascii="Garamond" w:hAnsi="Garamond"/>
          <w:sz w:val="22"/>
          <w:szCs w:val="22"/>
        </w:rPr>
        <w:t xml:space="preserve">. </w:t>
      </w:r>
      <w:r w:rsidR="00180D68" w:rsidRPr="0052169E">
        <w:rPr>
          <w:rFonts w:ascii="Garamond" w:hAnsi="Garamond"/>
          <w:sz w:val="22"/>
          <w:szCs w:val="22"/>
        </w:rPr>
        <w:t>március 07</w:t>
      </w:r>
      <w:r w:rsidRPr="0052169E">
        <w:rPr>
          <w:rFonts w:ascii="Garamond" w:hAnsi="Garamond"/>
          <w:sz w:val="22"/>
          <w:szCs w:val="22"/>
        </w:rPr>
        <w:t>.</w:t>
      </w:r>
    </w:p>
    <w:p w14:paraId="591306CB" w14:textId="49F86DBE" w:rsidR="004A7006" w:rsidRDefault="004A7006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70880EE5" w14:textId="77777777" w:rsidR="004A7006" w:rsidRPr="0052169E" w:rsidRDefault="004A7006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2B5CD88" w14:textId="77777777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  <w:t>Tisztelettel:</w:t>
      </w:r>
    </w:p>
    <w:p w14:paraId="039AB5EF" w14:textId="649DEFEE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A0A5821" w14:textId="4F7D8F12" w:rsidR="00180D68" w:rsidRPr="0052169E" w:rsidRDefault="00180D68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  <w:t>…………………………….</w:t>
      </w:r>
    </w:p>
    <w:p w14:paraId="614253A6" w14:textId="77777777" w:rsidR="00E56DDA" w:rsidRPr="0052169E" w:rsidRDefault="00E56DDA" w:rsidP="00E56DDA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</w:r>
      <w:r w:rsidRPr="0052169E">
        <w:rPr>
          <w:rFonts w:ascii="Garamond" w:hAnsi="Garamond"/>
          <w:sz w:val="22"/>
          <w:szCs w:val="22"/>
        </w:rPr>
        <w:tab/>
        <w:t>Kató Pálné jegyző</w:t>
      </w:r>
    </w:p>
    <w:p w14:paraId="0065C3D2" w14:textId="77777777" w:rsidR="005406D0" w:rsidRPr="0052169E" w:rsidRDefault="005406D0">
      <w:pPr>
        <w:rPr>
          <w:rFonts w:ascii="Garamond" w:hAnsi="Garamond"/>
          <w:sz w:val="22"/>
          <w:szCs w:val="22"/>
        </w:rPr>
      </w:pPr>
    </w:p>
    <w:sectPr w:rsidR="005406D0" w:rsidRPr="0052169E" w:rsidSect="00180D68">
      <w:pgSz w:w="11906" w:h="16838"/>
      <w:pgMar w:top="709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DA"/>
    <w:rsid w:val="00085C72"/>
    <w:rsid w:val="00154777"/>
    <w:rsid w:val="001649ED"/>
    <w:rsid w:val="00180D68"/>
    <w:rsid w:val="001A3C75"/>
    <w:rsid w:val="001D1902"/>
    <w:rsid w:val="002717A7"/>
    <w:rsid w:val="004A7006"/>
    <w:rsid w:val="004B6DC9"/>
    <w:rsid w:val="0052169E"/>
    <w:rsid w:val="005406D0"/>
    <w:rsid w:val="00571EAF"/>
    <w:rsid w:val="005A27AB"/>
    <w:rsid w:val="00624CC9"/>
    <w:rsid w:val="0062749D"/>
    <w:rsid w:val="00650AA3"/>
    <w:rsid w:val="006A577A"/>
    <w:rsid w:val="00710298"/>
    <w:rsid w:val="00726A80"/>
    <w:rsid w:val="0078712F"/>
    <w:rsid w:val="007872CE"/>
    <w:rsid w:val="00790FF5"/>
    <w:rsid w:val="008356B4"/>
    <w:rsid w:val="0086709F"/>
    <w:rsid w:val="008B20BD"/>
    <w:rsid w:val="00987474"/>
    <w:rsid w:val="00A470CF"/>
    <w:rsid w:val="00A750F9"/>
    <w:rsid w:val="00A80A8B"/>
    <w:rsid w:val="00AF3FDA"/>
    <w:rsid w:val="00B04D5B"/>
    <w:rsid w:val="00BA5EA0"/>
    <w:rsid w:val="00C37559"/>
    <w:rsid w:val="00CE73D3"/>
    <w:rsid w:val="00D2085C"/>
    <w:rsid w:val="00D548A5"/>
    <w:rsid w:val="00DB047C"/>
    <w:rsid w:val="00DB559C"/>
    <w:rsid w:val="00DB7961"/>
    <w:rsid w:val="00E23A23"/>
    <w:rsid w:val="00E23D1A"/>
    <w:rsid w:val="00E56DDA"/>
    <w:rsid w:val="00E6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E8CE"/>
  <w15:chartTrackingRefBased/>
  <w15:docId w15:val="{1A0A5243-3957-4BC0-A8E2-0CA91A6D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56DDA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56DDA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E56DDA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1080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2022-03-07T11:58:00Z</dcterms:created>
  <dcterms:modified xsi:type="dcterms:W3CDTF">2022-03-29T11:58:00Z</dcterms:modified>
</cp:coreProperties>
</file>