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DF320" w14:textId="4E33D444" w:rsidR="00E57A4C" w:rsidRDefault="00E57A4C" w:rsidP="00274481">
      <w:pPr>
        <w:pStyle w:val="Cm"/>
        <w:ind w:left="1416" w:right="143"/>
        <w:jc w:val="left"/>
        <w:rPr>
          <w:rFonts w:ascii="Monotype Corsiva" w:hAnsi="Monotype Corsiva"/>
          <w:b/>
          <w:sz w:val="24"/>
          <w:szCs w:val="24"/>
        </w:rPr>
      </w:pPr>
      <w:r>
        <w:rPr>
          <w:noProof/>
        </w:rPr>
        <mc:AlternateContent>
          <mc:Choice Requires="wps">
            <w:drawing>
              <wp:anchor distT="0" distB="0" distL="114300" distR="114300" simplePos="0" relativeHeight="251657216" behindDoc="0" locked="0" layoutInCell="1" allowOverlap="1" wp14:anchorId="1E940FE5" wp14:editId="4AE2FDCE">
                <wp:simplePos x="0" y="0"/>
                <wp:positionH relativeFrom="column">
                  <wp:posOffset>5094604</wp:posOffset>
                </wp:positionH>
                <wp:positionV relativeFrom="paragraph">
                  <wp:posOffset>-555918</wp:posOffset>
                </wp:positionV>
                <wp:extent cx="769815" cy="894861"/>
                <wp:effectExtent l="0" t="0" r="0" b="635"/>
                <wp:wrapNone/>
                <wp:docPr id="4" name="Szövegdoboz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9815" cy="8948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90CC62" w14:textId="7178C8F7" w:rsidR="00E57A4C" w:rsidRDefault="00E57A4C" w:rsidP="00E57A4C">
                            <w:r>
                              <w:rPr>
                                <w:noProof/>
                              </w:rPr>
                              <w:drawing>
                                <wp:inline distT="0" distB="0" distL="0" distR="0" wp14:anchorId="7978E908" wp14:editId="32473995">
                                  <wp:extent cx="535305" cy="715010"/>
                                  <wp:effectExtent l="0" t="0" r="0" b="889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5305" cy="71501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940FE5" id="_x0000_t202" coordsize="21600,21600" o:spt="202" path="m,l,21600r21600,l21600,xe">
                <v:stroke joinstyle="miter"/>
                <v:path gradientshapeok="t" o:connecttype="rect"/>
              </v:shapetype>
              <v:shape id="Szövegdoboz 4" o:spid="_x0000_s1026" type="#_x0000_t202" style="position:absolute;left:0;text-align:left;margin-left:401.15pt;margin-top:-43.75pt;width:60.6pt;height:70.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" stroked="f">
                <v:textbox>
                  <w:txbxContent>
                    <w:p w14:paraId="2E90CC62" w14:textId="7178C8F7" w:rsidR="00E57A4C" w:rsidRDefault="00E57A4C" w:rsidP="00E57A4C">
                      <w:r>
                        <w:rPr>
                          <w:noProof/>
                        </w:rPr>
                        <w:drawing>
                          <wp:inline distT="0" distB="0" distL="0" distR="0" wp14:anchorId="7978E908" wp14:editId="32473995">
                            <wp:extent cx="535305" cy="715010"/>
                            <wp:effectExtent l="0" t="0" r="0" b="889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5305" cy="71501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8240" behindDoc="0" locked="0" layoutInCell="0" allowOverlap="1" wp14:anchorId="31328083" wp14:editId="54CE0632">
                <wp:simplePos x="0" y="0"/>
                <wp:positionH relativeFrom="column">
                  <wp:posOffset>-48260</wp:posOffset>
                </wp:positionH>
                <wp:positionV relativeFrom="paragraph">
                  <wp:posOffset>-668655</wp:posOffset>
                </wp:positionV>
                <wp:extent cx="640080" cy="914400"/>
                <wp:effectExtent l="0" t="0" r="0" b="1905"/>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2DEB40" w14:textId="3488ACC5" w:rsidR="00E57A4C" w:rsidRDefault="00E57A4C" w:rsidP="00E57A4C">
                            <w:r>
                              <w:rPr>
                                <w:noProof/>
                              </w:rPr>
                              <w:drawing>
                                <wp:inline distT="0" distB="0" distL="0" distR="0" wp14:anchorId="33F77AC7" wp14:editId="59D97D63">
                                  <wp:extent cx="417813" cy="663049"/>
                                  <wp:effectExtent l="0" t="0" r="1905" b="381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0979" cy="731551"/>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28083" id="Szövegdoboz 2" o:spid="_x0000_s1027" type="#_x0000_t202" style="position:absolute;left:0;text-align:left;margin-left:-3.8pt;margin-top:-52.65pt;width:50.4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" o:allowincell="f" stroked="f">
                <v:textbox>
                  <w:txbxContent>
                    <w:p w14:paraId="382DEB40" w14:textId="3488ACC5" w:rsidR="00E57A4C" w:rsidRDefault="00E57A4C" w:rsidP="00E57A4C">
                      <w:r>
                        <w:rPr>
                          <w:noProof/>
                        </w:rPr>
                        <w:drawing>
                          <wp:inline distT="0" distB="0" distL="0" distR="0" wp14:anchorId="33F77AC7" wp14:editId="59D97D63">
                            <wp:extent cx="417813" cy="663049"/>
                            <wp:effectExtent l="0" t="0" r="1905" b="381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0979" cy="731551"/>
                                    </a:xfrm>
                                    <a:prstGeom prst="rect">
                                      <a:avLst/>
                                    </a:prstGeom>
                                    <a:noFill/>
                                    <a:ln>
                                      <a:noFill/>
                                    </a:ln>
                                  </pic:spPr>
                                </pic:pic>
                              </a:graphicData>
                            </a:graphic>
                          </wp:inline>
                        </w:drawing>
                      </w:r>
                    </w:p>
                  </w:txbxContent>
                </v:textbox>
              </v:shape>
            </w:pict>
          </mc:Fallback>
        </mc:AlternateContent>
      </w:r>
      <w:r>
        <w:rPr>
          <w:rFonts w:ascii="Monotype Corsiva" w:hAnsi="Monotype Corsiva"/>
          <w:b/>
          <w:sz w:val="24"/>
          <w:szCs w:val="24"/>
        </w:rPr>
        <w:t xml:space="preserve">                  Csanytelek Község Önkormányzata Jegyzőjétől</w:t>
      </w:r>
    </w:p>
    <w:p w14:paraId="2C84CF2B" w14:textId="77777777" w:rsidR="00E57A4C" w:rsidRDefault="00E57A4C" w:rsidP="00274481">
      <w:pPr>
        <w:ind w:left="1416" w:right="143" w:firstLine="708"/>
        <w:rPr>
          <w:rFonts w:ascii="Monotype Corsiva" w:hAnsi="Monotype Corsiva"/>
          <w:b/>
          <w:i/>
          <w:sz w:val="24"/>
          <w:szCs w:val="24"/>
        </w:rPr>
      </w:pPr>
      <w:r>
        <w:rPr>
          <w:rFonts w:ascii="Monotype Corsiva" w:hAnsi="Monotype Corsiva"/>
          <w:b/>
          <w:i/>
          <w:sz w:val="24"/>
          <w:szCs w:val="24"/>
        </w:rPr>
        <w:t xml:space="preserve">      </w:t>
      </w:r>
      <w:r>
        <w:rPr>
          <w:rFonts w:ascii="Monotype Corsiva" w:hAnsi="Monotype Corsiva"/>
          <w:b/>
          <w:i/>
          <w:sz w:val="24"/>
          <w:szCs w:val="24"/>
        </w:rPr>
        <w:sym w:font="Wingdings" w:char="F02A"/>
      </w:r>
      <w:r>
        <w:rPr>
          <w:rFonts w:ascii="Monotype Corsiva" w:hAnsi="Monotype Corsiva"/>
          <w:b/>
          <w:i/>
          <w:sz w:val="24"/>
          <w:szCs w:val="24"/>
        </w:rPr>
        <w:t xml:space="preserve"> 6647. Csanytelek, Volentér János tér 2.sz.</w:t>
      </w:r>
    </w:p>
    <w:p w14:paraId="7E0C7577" w14:textId="77777777" w:rsidR="00E57A4C" w:rsidRDefault="00E57A4C" w:rsidP="00274481">
      <w:pPr>
        <w:pBdr>
          <w:bottom w:val="single" w:sz="4" w:space="1" w:color="auto"/>
        </w:pBdr>
        <w:ind w:right="143"/>
        <w:jc w:val="center"/>
        <w:rPr>
          <w:rFonts w:ascii="Monotype Corsiva" w:hAnsi="Monotype Corsiva"/>
          <w:b/>
          <w:sz w:val="24"/>
          <w:szCs w:val="24"/>
        </w:rPr>
      </w:pPr>
      <w:r>
        <w:rPr>
          <w:rFonts w:ascii="Monotype Corsiva" w:hAnsi="Monotype Corsiva"/>
          <w:b/>
          <w:sz w:val="24"/>
          <w:szCs w:val="24"/>
        </w:rPr>
        <w:sym w:font="Wingdings" w:char="F028"/>
      </w:r>
      <w:r>
        <w:rPr>
          <w:rFonts w:ascii="Monotype Corsiva" w:hAnsi="Monotype Corsiva"/>
          <w:b/>
          <w:sz w:val="24"/>
          <w:szCs w:val="24"/>
        </w:rPr>
        <w:t xml:space="preserve"> 63/578-510; 63/578-512; 63/578-513; fax: 63/578-517; jegyzo@csanytelek.hu</w:t>
      </w:r>
    </w:p>
    <w:p w14:paraId="3F03560F" w14:textId="17DE2F74" w:rsidR="00E57A4C" w:rsidRDefault="00E57A4C" w:rsidP="00274481">
      <w:pPr>
        <w:ind w:right="143"/>
        <w:jc w:val="both"/>
        <w:rPr>
          <w:rFonts w:ascii="Garamond" w:hAnsi="Garamond"/>
          <w:sz w:val="24"/>
          <w:szCs w:val="24"/>
        </w:rPr>
      </w:pPr>
      <w:r>
        <w:rPr>
          <w:rFonts w:ascii="Garamond" w:hAnsi="Garamond"/>
          <w:b/>
          <w:sz w:val="24"/>
          <w:szCs w:val="24"/>
        </w:rPr>
        <w:t xml:space="preserve"> </w:t>
      </w:r>
      <w:r>
        <w:rPr>
          <w:rFonts w:ascii="Garamond" w:hAnsi="Garamond"/>
          <w:sz w:val="24"/>
          <w:szCs w:val="24"/>
        </w:rPr>
        <w:t>CS/421-2/2022.</w:t>
      </w:r>
    </w:p>
    <w:p w14:paraId="7E0952CA" w14:textId="77777777" w:rsidR="00E57A4C" w:rsidRDefault="00E57A4C" w:rsidP="00274481">
      <w:pPr>
        <w:ind w:right="143"/>
        <w:jc w:val="both"/>
        <w:rPr>
          <w:rFonts w:ascii="Garamond" w:hAnsi="Garamond"/>
          <w:sz w:val="24"/>
          <w:szCs w:val="24"/>
        </w:rPr>
      </w:pPr>
    </w:p>
    <w:p w14:paraId="46BA0B50" w14:textId="77777777" w:rsidR="00E57A4C" w:rsidRDefault="00E57A4C" w:rsidP="00274481">
      <w:pPr>
        <w:ind w:right="143"/>
        <w:jc w:val="center"/>
        <w:rPr>
          <w:rFonts w:ascii="Garamond" w:hAnsi="Garamond"/>
          <w:b/>
          <w:sz w:val="24"/>
          <w:szCs w:val="24"/>
        </w:rPr>
      </w:pPr>
      <w:r>
        <w:rPr>
          <w:rFonts w:ascii="Garamond" w:hAnsi="Garamond"/>
          <w:b/>
          <w:sz w:val="24"/>
          <w:szCs w:val="24"/>
        </w:rPr>
        <w:t>Á l t a l á n o s   i n d o k o l á s</w:t>
      </w:r>
    </w:p>
    <w:p w14:paraId="6A50E6AF" w14:textId="77777777" w:rsidR="00E57A4C" w:rsidRDefault="00E57A4C" w:rsidP="00274481">
      <w:pPr>
        <w:ind w:right="143"/>
        <w:jc w:val="center"/>
        <w:rPr>
          <w:rFonts w:ascii="Garamond" w:hAnsi="Garamond"/>
          <w:b/>
          <w:sz w:val="24"/>
          <w:szCs w:val="24"/>
        </w:rPr>
      </w:pPr>
    </w:p>
    <w:p w14:paraId="3CAEB39F" w14:textId="77777777" w:rsidR="00E57A4C" w:rsidRDefault="00E57A4C" w:rsidP="00274481">
      <w:pPr>
        <w:ind w:right="143"/>
        <w:jc w:val="center"/>
        <w:rPr>
          <w:rFonts w:ascii="Garamond" w:hAnsi="Garamond"/>
          <w:sz w:val="24"/>
          <w:szCs w:val="24"/>
        </w:rPr>
      </w:pPr>
      <w:r>
        <w:rPr>
          <w:rFonts w:ascii="Garamond" w:hAnsi="Garamond"/>
          <w:b/>
          <w:sz w:val="24"/>
          <w:szCs w:val="24"/>
        </w:rPr>
        <w:t xml:space="preserve">az önkormányzat vagyonáról </w:t>
      </w:r>
      <w:r>
        <w:rPr>
          <w:rFonts w:ascii="Garamond" w:hAnsi="Garamond"/>
          <w:sz w:val="24"/>
          <w:szCs w:val="24"/>
        </w:rPr>
        <w:t>szóló önkormányzati rendelet-tervezethez</w:t>
      </w:r>
    </w:p>
    <w:p w14:paraId="152DB1C2" w14:textId="77777777" w:rsidR="00E57A4C" w:rsidRDefault="00E57A4C" w:rsidP="00274481">
      <w:pPr>
        <w:ind w:right="143"/>
        <w:jc w:val="center"/>
        <w:rPr>
          <w:rFonts w:ascii="Garamond" w:hAnsi="Garamond"/>
          <w:sz w:val="24"/>
          <w:szCs w:val="24"/>
        </w:rPr>
      </w:pPr>
    </w:p>
    <w:p w14:paraId="15090E89" w14:textId="768C40B9" w:rsidR="00E57A4C" w:rsidRDefault="00E57A4C" w:rsidP="00274481">
      <w:pPr>
        <w:ind w:right="143"/>
        <w:jc w:val="both"/>
        <w:rPr>
          <w:rFonts w:ascii="Garamond" w:hAnsi="Garamond"/>
          <w:b/>
          <w:sz w:val="24"/>
          <w:szCs w:val="24"/>
        </w:rPr>
      </w:pPr>
      <w:r>
        <w:rPr>
          <w:rFonts w:ascii="Garamond" w:hAnsi="Garamond"/>
          <w:sz w:val="24"/>
          <w:szCs w:val="24"/>
        </w:rPr>
        <w:t xml:space="preserve">Csanytelek Község Önkormányzata Képviselő-testülete az </w:t>
      </w:r>
      <w:r>
        <w:rPr>
          <w:rFonts w:ascii="Garamond" w:hAnsi="Garamond"/>
          <w:b/>
          <w:sz w:val="24"/>
          <w:szCs w:val="24"/>
        </w:rPr>
        <w:t>önkormányzat vagyonáról szóló 1</w:t>
      </w:r>
      <w:r w:rsidR="00D42A97">
        <w:rPr>
          <w:rFonts w:ascii="Garamond" w:hAnsi="Garamond"/>
          <w:b/>
          <w:sz w:val="24"/>
          <w:szCs w:val="24"/>
        </w:rPr>
        <w:t>1</w:t>
      </w:r>
      <w:r>
        <w:rPr>
          <w:rFonts w:ascii="Garamond" w:hAnsi="Garamond"/>
          <w:b/>
          <w:sz w:val="24"/>
          <w:szCs w:val="24"/>
        </w:rPr>
        <w:t xml:space="preserve">/2016. (IX. 30.)  önkormányzati rendelete </w:t>
      </w:r>
      <w:r>
        <w:rPr>
          <w:rFonts w:ascii="Garamond" w:hAnsi="Garamond"/>
          <w:sz w:val="24"/>
          <w:szCs w:val="24"/>
        </w:rPr>
        <w:t xml:space="preserve">megalkotása óta eltelt idő alatt kiadott központi jogszabályokban foglaltak változása miatt elkerülhetetlen annak </w:t>
      </w:r>
      <w:r>
        <w:rPr>
          <w:rFonts w:ascii="Garamond" w:hAnsi="Garamond"/>
          <w:i/>
          <w:sz w:val="24"/>
          <w:szCs w:val="24"/>
        </w:rPr>
        <w:t>felülvizsgálata</w:t>
      </w:r>
      <w:r>
        <w:rPr>
          <w:rFonts w:ascii="Garamond" w:hAnsi="Garamond"/>
          <w:sz w:val="24"/>
          <w:szCs w:val="24"/>
        </w:rPr>
        <w:t xml:space="preserve">, amelyet a jogalkotásról szóló 2010. évi CXXX. törvény (a továbbiakban: Jat.) 22. § (1)-(2) bekezdésén túl, az önkormányzat hatályos SZMSZ-e 19. § (8) bekezdése is előír a jegyző számára.  </w:t>
      </w:r>
      <w:r>
        <w:rPr>
          <w:rFonts w:ascii="Garamond" w:hAnsi="Garamond"/>
          <w:b/>
          <w:sz w:val="24"/>
          <w:szCs w:val="24"/>
        </w:rPr>
        <w:t xml:space="preserve"> </w:t>
      </w:r>
    </w:p>
    <w:p w14:paraId="177F53F2" w14:textId="3F0F3B80" w:rsidR="00E57A4C" w:rsidRDefault="00E57A4C" w:rsidP="00274481">
      <w:pPr>
        <w:ind w:right="143"/>
        <w:jc w:val="both"/>
        <w:rPr>
          <w:rFonts w:ascii="Garamond" w:hAnsi="Garamond"/>
          <w:sz w:val="24"/>
          <w:szCs w:val="24"/>
        </w:rPr>
      </w:pPr>
      <w:r>
        <w:rPr>
          <w:rFonts w:ascii="Garamond" w:hAnsi="Garamond"/>
          <w:sz w:val="24"/>
          <w:szCs w:val="24"/>
        </w:rPr>
        <w:t>Az önkormányzat szervezeti és működési szabályzata 19. § (1) bekezdés d) pontjában a jegyzőnek adott jogszabály alkotásának kezdeményezési jogára hivatkozva és a Jat. 17.-18.-19. §-aiban a jegyző jogszabály előkészítése keretében végzendő tevékenységének eleget-téve készítettem el tárgyi rendelet-tervezetet,  a Jat. végrehajtására kiadott, a jogszabályszerkesztéséről szóló 61/2009. (XII. 14.) IRM (a továbbiakban: IRM rendelet) rendeletben foglaltakat betartva.</w:t>
      </w:r>
    </w:p>
    <w:p w14:paraId="0AC42AE8" w14:textId="46928B12" w:rsidR="00E57A4C" w:rsidRDefault="00E57A4C" w:rsidP="00274481">
      <w:pPr>
        <w:ind w:right="143"/>
        <w:jc w:val="both"/>
        <w:rPr>
          <w:rFonts w:ascii="Garamond" w:hAnsi="Garamond"/>
          <w:sz w:val="24"/>
          <w:szCs w:val="24"/>
        </w:rPr>
      </w:pPr>
      <w:r>
        <w:rPr>
          <w:rFonts w:ascii="Garamond" w:hAnsi="Garamond"/>
          <w:sz w:val="24"/>
          <w:szCs w:val="24"/>
        </w:rPr>
        <w:t xml:space="preserve">Tájékoztatom Önöket arról, hogy amennyiben nem alkotná meg tárgyi rendeletét a Képviselő-testület, akkor az Alaptörvény 32. cikk (5) bekezdésében írtak érvényesíthetők, konkrétan a </w:t>
      </w:r>
      <w:r>
        <w:rPr>
          <w:rFonts w:ascii="Garamond" w:hAnsi="Garamond"/>
          <w:i/>
          <w:sz w:val="24"/>
          <w:szCs w:val="24"/>
        </w:rPr>
        <w:t xml:space="preserve">mulasztásban megnyilvánuló jogsértés okán a megyei kormányhivatal a bíróságnál kezdeményezheti a helyi önkormányzat törvényen alapuló jogalkotási kötelezettsége elmulasztásának megállapítását. </w:t>
      </w:r>
      <w:r>
        <w:rPr>
          <w:rFonts w:ascii="Garamond" w:hAnsi="Garamond"/>
          <w:sz w:val="24"/>
          <w:szCs w:val="24"/>
        </w:rPr>
        <w:t xml:space="preserve">Amennyiben az illetékes bíróság által jogalkotásra megadott időpont eredménytelenül telik el, úgy az adott bíróság a megyei kormányhivatal kezdeményezésére elrendeli, hogy az önkormányzati rendeletet a megyei kormányhivatal vezetője alkossa meg. A Kormányhivatal a Magyarország helyi önkormányzatairól szóló 2011. évi CLXXIX. törvény (a továbbiakban: Mötv.) a helyi önkormányzatok </w:t>
      </w:r>
      <w:r>
        <w:rPr>
          <w:rFonts w:ascii="Garamond" w:hAnsi="Garamond"/>
          <w:i/>
          <w:sz w:val="24"/>
          <w:szCs w:val="24"/>
        </w:rPr>
        <w:t xml:space="preserve">törvényességi felügyelete  </w:t>
      </w:r>
      <w:r>
        <w:rPr>
          <w:rFonts w:ascii="Garamond" w:hAnsi="Garamond"/>
          <w:sz w:val="24"/>
          <w:szCs w:val="24"/>
        </w:rPr>
        <w:t xml:space="preserve">keretében az Mötv. 137. – 138. §-aiban foglaltak szerint jár el és a 141. § értelmében </w:t>
      </w:r>
      <w:r>
        <w:rPr>
          <w:rFonts w:ascii="Garamond" w:hAnsi="Garamond"/>
          <w:i/>
          <w:sz w:val="24"/>
          <w:szCs w:val="24"/>
        </w:rPr>
        <w:t xml:space="preserve">törvényességi felügyeleti bírságot </w:t>
      </w:r>
      <w:r>
        <w:rPr>
          <w:rFonts w:ascii="Garamond" w:hAnsi="Garamond"/>
          <w:sz w:val="24"/>
          <w:szCs w:val="24"/>
        </w:rPr>
        <w:t xml:space="preserve">szabhat ki. </w:t>
      </w:r>
      <w:r>
        <w:rPr>
          <w:rFonts w:ascii="Garamond" w:hAnsi="Garamond"/>
          <w:i/>
          <w:sz w:val="24"/>
          <w:szCs w:val="24"/>
        </w:rPr>
        <w:t xml:space="preserve"> </w:t>
      </w:r>
    </w:p>
    <w:p w14:paraId="22AEBE68" w14:textId="08C4A81E" w:rsidR="00E57A4C" w:rsidRDefault="00E57A4C" w:rsidP="00274481">
      <w:pPr>
        <w:ind w:right="143"/>
        <w:jc w:val="both"/>
        <w:rPr>
          <w:rFonts w:ascii="Garamond" w:hAnsi="Garamond"/>
          <w:i/>
          <w:sz w:val="24"/>
          <w:szCs w:val="24"/>
        </w:rPr>
      </w:pPr>
      <w:r>
        <w:rPr>
          <w:rFonts w:ascii="Garamond" w:hAnsi="Garamond"/>
          <w:sz w:val="24"/>
          <w:szCs w:val="24"/>
        </w:rPr>
        <w:t xml:space="preserve">A fenti tárgyú önkormányzati rendelet alkotását </w:t>
      </w:r>
      <w:r>
        <w:rPr>
          <w:rFonts w:ascii="Garamond" w:hAnsi="Garamond"/>
          <w:i/>
          <w:sz w:val="24"/>
          <w:szCs w:val="24"/>
        </w:rPr>
        <w:t xml:space="preserve">konkrétan az </w:t>
      </w:r>
      <w:r>
        <w:rPr>
          <w:rFonts w:ascii="Garamond" w:hAnsi="Garamond"/>
          <w:sz w:val="24"/>
          <w:szCs w:val="24"/>
        </w:rPr>
        <w:t xml:space="preserve">általam tárgyban kiadott </w:t>
      </w:r>
      <w:r>
        <w:rPr>
          <w:rFonts w:ascii="Garamond" w:hAnsi="Garamond"/>
          <w:i/>
          <w:sz w:val="24"/>
          <w:szCs w:val="24"/>
        </w:rPr>
        <w:t>előterjesztésben</w:t>
      </w:r>
      <w:r>
        <w:rPr>
          <w:rFonts w:ascii="Garamond" w:hAnsi="Garamond"/>
          <w:sz w:val="24"/>
          <w:szCs w:val="24"/>
        </w:rPr>
        <w:t xml:space="preserve"> részletezettek</w:t>
      </w:r>
      <w:r>
        <w:rPr>
          <w:rFonts w:ascii="Garamond" w:hAnsi="Garamond"/>
          <w:i/>
          <w:sz w:val="24"/>
          <w:szCs w:val="24"/>
        </w:rPr>
        <w:t xml:space="preserve"> indokolják.  </w:t>
      </w:r>
    </w:p>
    <w:p w14:paraId="090DCF1F" w14:textId="76C1158B" w:rsidR="00C27965" w:rsidRPr="00C27965" w:rsidRDefault="00C27965" w:rsidP="00A407D5">
      <w:pPr>
        <w:ind w:right="143"/>
        <w:jc w:val="both"/>
        <w:rPr>
          <w:rFonts w:ascii="Garamond" w:hAnsi="Garamond"/>
          <w:b/>
          <w:bCs/>
          <w:i/>
          <w:iCs/>
          <w:sz w:val="22"/>
          <w:szCs w:val="22"/>
          <w:u w:val="single"/>
        </w:rPr>
      </w:pPr>
      <w:r w:rsidRPr="00C27965">
        <w:rPr>
          <w:rFonts w:ascii="Garamond" w:hAnsi="Garamond"/>
          <w:sz w:val="22"/>
          <w:szCs w:val="22"/>
        </w:rPr>
        <w:t xml:space="preserve">A Magyar Közlöny kiadásáról, valamint a jogszabály kihirdetése során történő és a közjogi szervezetszabályozó eszköz közzététele során történő megjelöléséről szóló 5/2019. (III. 13.) IM rendelet </w:t>
      </w:r>
      <w:r w:rsidR="00597357">
        <w:rPr>
          <w:rFonts w:ascii="Garamond" w:hAnsi="Garamond"/>
          <w:sz w:val="22"/>
          <w:szCs w:val="22"/>
        </w:rPr>
        <w:t xml:space="preserve"> </w:t>
      </w:r>
      <w:r w:rsidR="00597357" w:rsidRPr="00597357">
        <w:rPr>
          <w:rFonts w:ascii="Garamond" w:hAnsi="Garamond"/>
          <w:sz w:val="22"/>
          <w:szCs w:val="22"/>
        </w:rPr>
        <w:t>20. § (3) bekezdése mondja ki annak kötelező voltát</w:t>
      </w:r>
      <w:r w:rsidR="00597357">
        <w:rPr>
          <w:rFonts w:ascii="Garamond" w:hAnsi="Garamond"/>
        </w:rPr>
        <w:t>.</w:t>
      </w:r>
      <w:r w:rsidR="00012377">
        <w:rPr>
          <w:rFonts w:ascii="Garamond" w:hAnsi="Garamond"/>
        </w:rPr>
        <w:t xml:space="preserve"> </w:t>
      </w:r>
      <w:r w:rsidR="00012377" w:rsidRPr="00012377">
        <w:rPr>
          <w:rFonts w:ascii="Garamond" w:hAnsi="Garamond"/>
          <w:sz w:val="22"/>
          <w:szCs w:val="22"/>
        </w:rPr>
        <w:t xml:space="preserve">A </w:t>
      </w:r>
      <w:r w:rsidRPr="00C27965">
        <w:rPr>
          <w:rFonts w:ascii="Garamond" w:hAnsi="Garamond"/>
          <w:sz w:val="22"/>
          <w:szCs w:val="22"/>
        </w:rPr>
        <w:t xml:space="preserve">21. § (2) bekezdés a) pontjában szabályozott rendelkezés értelmében: </w:t>
      </w:r>
      <w:r w:rsidRPr="00C27965">
        <w:rPr>
          <w:rFonts w:ascii="Garamond" w:hAnsi="Garamond"/>
          <w:i/>
          <w:iCs/>
          <w:sz w:val="22"/>
          <w:szCs w:val="22"/>
        </w:rPr>
        <w:t xml:space="preserve">önkormányzati rendelethez </w:t>
      </w:r>
      <w:r w:rsidRPr="00C27965">
        <w:rPr>
          <w:rFonts w:ascii="Garamond" w:hAnsi="Garamond"/>
          <w:i/>
          <w:iCs/>
          <w:sz w:val="22"/>
          <w:szCs w:val="22"/>
          <w:u w:val="single"/>
        </w:rPr>
        <w:t>tartozó indokolást</w:t>
      </w:r>
      <w:r w:rsidRPr="00C27965">
        <w:rPr>
          <w:rFonts w:ascii="Garamond" w:hAnsi="Garamond"/>
          <w:sz w:val="22"/>
          <w:szCs w:val="22"/>
          <w:u w:val="single"/>
        </w:rPr>
        <w:t xml:space="preserve"> </w:t>
      </w:r>
      <w:r w:rsidRPr="00C27965">
        <w:rPr>
          <w:rFonts w:ascii="Garamond" w:hAnsi="Garamond"/>
          <w:i/>
          <w:iCs/>
          <w:sz w:val="22"/>
          <w:szCs w:val="22"/>
          <w:u w:val="single"/>
        </w:rPr>
        <w:t>nem kell közzétenni,</w:t>
      </w:r>
      <w:r w:rsidRPr="00C27965">
        <w:rPr>
          <w:rFonts w:ascii="Garamond" w:hAnsi="Garamond"/>
          <w:i/>
          <w:iCs/>
          <w:sz w:val="22"/>
          <w:szCs w:val="22"/>
        </w:rPr>
        <w:t xml:space="preserve"> ha annak a társadalmi, gazdasági, költségvetési hatása, környezeti és egészségi következménye, adminisztratív terhe nem kimutatható, </w:t>
      </w:r>
      <w:r w:rsidRPr="00C27965">
        <w:rPr>
          <w:rFonts w:ascii="Garamond" w:hAnsi="Garamond"/>
          <w:sz w:val="22"/>
          <w:szCs w:val="22"/>
        </w:rPr>
        <w:t xml:space="preserve">és a b) pontja szerint </w:t>
      </w:r>
      <w:r w:rsidRPr="00C27965">
        <w:rPr>
          <w:rFonts w:ascii="Garamond" w:hAnsi="Garamond"/>
          <w:i/>
          <w:iCs/>
          <w:sz w:val="22"/>
          <w:szCs w:val="22"/>
        </w:rPr>
        <w:t xml:space="preserve">technikai, vagy végrehajtási jellegű. </w:t>
      </w:r>
      <w:r w:rsidRPr="00C27965">
        <w:rPr>
          <w:rFonts w:ascii="Garamond" w:hAnsi="Garamond"/>
          <w:sz w:val="22"/>
          <w:szCs w:val="22"/>
        </w:rPr>
        <w:t xml:space="preserve"> A jelen esetben közel 1,5 milliárd összeget képvisel a vízmű vagyon átadás – átvétele, annak a vagyonátadó önkormányzat könyveiből való kivezetése, az átvevő NVZrt. könyveibe való bevezetése adminisztrációs folyamat ugyan, de nem vonatkoztatható el annak az önkormányzat részéről </w:t>
      </w:r>
      <w:r w:rsidR="00A407D5">
        <w:rPr>
          <w:rFonts w:ascii="Garamond" w:hAnsi="Garamond"/>
          <w:sz w:val="22"/>
          <w:szCs w:val="22"/>
        </w:rPr>
        <w:t>annak</w:t>
      </w:r>
      <w:r w:rsidRPr="00C27965">
        <w:rPr>
          <w:rFonts w:ascii="Garamond" w:hAnsi="Garamond"/>
          <w:sz w:val="22"/>
          <w:szCs w:val="22"/>
        </w:rPr>
        <w:t xml:space="preserve"> vagyonvesztésként való átélése, ezért a  </w:t>
      </w:r>
      <w:r w:rsidRPr="00C27965">
        <w:rPr>
          <w:rFonts w:ascii="Garamond" w:hAnsi="Garamond"/>
          <w:i/>
          <w:iCs/>
          <w:sz w:val="22"/>
          <w:szCs w:val="22"/>
          <w:u w:val="single"/>
        </w:rPr>
        <w:t xml:space="preserve"> </w:t>
      </w:r>
      <w:r w:rsidRPr="00C27965">
        <w:rPr>
          <w:rFonts w:ascii="Garamond" w:hAnsi="Garamond"/>
          <w:b/>
          <w:bCs/>
          <w:i/>
          <w:iCs/>
          <w:sz w:val="22"/>
          <w:szCs w:val="22"/>
          <w:u w:val="single"/>
        </w:rPr>
        <w:t>tárgyra vonatkozó indokolás közzétételét szükségesnek tartom.</w:t>
      </w:r>
    </w:p>
    <w:p w14:paraId="7B72374D" w14:textId="77777777" w:rsidR="00C27965" w:rsidRPr="00C27965" w:rsidRDefault="00C27965" w:rsidP="00274481">
      <w:pPr>
        <w:ind w:right="143"/>
        <w:jc w:val="both"/>
        <w:rPr>
          <w:rFonts w:ascii="Garamond" w:hAnsi="Garamond"/>
          <w:i/>
          <w:sz w:val="22"/>
          <w:szCs w:val="22"/>
        </w:rPr>
      </w:pPr>
    </w:p>
    <w:p w14:paraId="24CB5122" w14:textId="2526AEDE" w:rsidR="00E57A4C" w:rsidRDefault="00E57A4C" w:rsidP="00274481">
      <w:pPr>
        <w:ind w:right="143"/>
        <w:jc w:val="both"/>
        <w:rPr>
          <w:rFonts w:ascii="Garamond" w:hAnsi="Garamond"/>
          <w:i/>
          <w:sz w:val="24"/>
          <w:szCs w:val="24"/>
        </w:rPr>
      </w:pPr>
      <w:r>
        <w:rPr>
          <w:rFonts w:ascii="Garamond" w:hAnsi="Garamond"/>
          <w:sz w:val="24"/>
          <w:szCs w:val="24"/>
        </w:rPr>
        <w:t>A fentiek ismeretében készítettem el az Nvt</w:t>
      </w:r>
      <w:r w:rsidR="00A407D5">
        <w:rPr>
          <w:rFonts w:ascii="Garamond" w:hAnsi="Garamond"/>
          <w:sz w:val="24"/>
          <w:szCs w:val="24"/>
        </w:rPr>
        <w:t>v.</w:t>
      </w:r>
      <w:r>
        <w:rPr>
          <w:rFonts w:ascii="Garamond" w:hAnsi="Garamond"/>
          <w:sz w:val="24"/>
          <w:szCs w:val="24"/>
        </w:rPr>
        <w:t xml:space="preserve"> hatályos szabályaihoz igazodó helyi önkormányzati rendelet tervezetét, az alábbi részletes indokolással. </w:t>
      </w:r>
      <w:r>
        <w:rPr>
          <w:rFonts w:ascii="Garamond" w:hAnsi="Garamond"/>
          <w:i/>
          <w:sz w:val="24"/>
          <w:szCs w:val="24"/>
        </w:rPr>
        <w:t xml:space="preserve">  </w:t>
      </w:r>
    </w:p>
    <w:p w14:paraId="26F4456B" w14:textId="77777777" w:rsidR="00E57A4C" w:rsidRDefault="00E57A4C" w:rsidP="00274481">
      <w:pPr>
        <w:ind w:right="143"/>
        <w:rPr>
          <w:sz w:val="24"/>
          <w:szCs w:val="24"/>
        </w:rPr>
      </w:pPr>
    </w:p>
    <w:p w14:paraId="0417D8F7" w14:textId="77777777" w:rsidR="00E57A4C" w:rsidRDefault="00E57A4C" w:rsidP="00274481">
      <w:pPr>
        <w:ind w:right="143"/>
        <w:jc w:val="center"/>
        <w:rPr>
          <w:rFonts w:ascii="Garamond" w:hAnsi="Garamond"/>
          <w:b/>
          <w:sz w:val="24"/>
          <w:szCs w:val="24"/>
        </w:rPr>
      </w:pPr>
      <w:r>
        <w:rPr>
          <w:rFonts w:ascii="Garamond" w:hAnsi="Garamond"/>
          <w:b/>
          <w:sz w:val="24"/>
          <w:szCs w:val="24"/>
        </w:rPr>
        <w:t>R é s z l e t e s    I n d o k o l á s</w:t>
      </w:r>
    </w:p>
    <w:p w14:paraId="21EB2CF6" w14:textId="77777777" w:rsidR="00E57A4C" w:rsidRDefault="00E57A4C" w:rsidP="00274481">
      <w:pPr>
        <w:ind w:right="143"/>
        <w:jc w:val="center"/>
        <w:rPr>
          <w:rFonts w:ascii="Garamond" w:hAnsi="Garamond"/>
          <w:b/>
          <w:sz w:val="24"/>
          <w:szCs w:val="24"/>
        </w:rPr>
      </w:pPr>
      <w:r>
        <w:rPr>
          <w:rFonts w:ascii="Garamond" w:hAnsi="Garamond"/>
          <w:b/>
          <w:sz w:val="24"/>
          <w:szCs w:val="24"/>
        </w:rPr>
        <w:t>a Bevezető részhez</w:t>
      </w:r>
    </w:p>
    <w:p w14:paraId="562899CE" w14:textId="77777777" w:rsidR="00E57A4C" w:rsidRDefault="00E57A4C" w:rsidP="00274481">
      <w:pPr>
        <w:ind w:right="143"/>
        <w:jc w:val="center"/>
        <w:rPr>
          <w:rFonts w:ascii="Garamond" w:hAnsi="Garamond"/>
          <w:b/>
          <w:sz w:val="24"/>
          <w:szCs w:val="24"/>
        </w:rPr>
      </w:pPr>
    </w:p>
    <w:p w14:paraId="6EA155C4" w14:textId="423BD775" w:rsidR="00E57A4C" w:rsidRDefault="00E57A4C" w:rsidP="00274481">
      <w:pPr>
        <w:ind w:right="143"/>
        <w:jc w:val="both"/>
        <w:rPr>
          <w:rFonts w:ascii="Garamond" w:hAnsi="Garamond"/>
          <w:sz w:val="24"/>
          <w:szCs w:val="24"/>
        </w:rPr>
      </w:pPr>
      <w:r>
        <w:rPr>
          <w:rFonts w:ascii="Garamond" w:hAnsi="Garamond"/>
          <w:sz w:val="24"/>
          <w:szCs w:val="24"/>
        </w:rPr>
        <w:t xml:space="preserve">A rendelet-tervezet bevezető-része </w:t>
      </w:r>
      <w:r>
        <w:rPr>
          <w:rFonts w:ascii="Garamond" w:hAnsi="Garamond"/>
          <w:i/>
          <w:sz w:val="24"/>
          <w:szCs w:val="24"/>
        </w:rPr>
        <w:t xml:space="preserve">azon jogszabályi helyek megjelölését </w:t>
      </w:r>
      <w:r>
        <w:rPr>
          <w:rFonts w:ascii="Garamond" w:hAnsi="Garamond"/>
          <w:sz w:val="24"/>
          <w:szCs w:val="24"/>
        </w:rPr>
        <w:t xml:space="preserve">tartalmazza, amelyek az önkormányzat képviselő-testülete számára a </w:t>
      </w:r>
      <w:r>
        <w:rPr>
          <w:rFonts w:ascii="Garamond" w:hAnsi="Garamond"/>
          <w:i/>
          <w:sz w:val="24"/>
          <w:szCs w:val="24"/>
        </w:rPr>
        <w:t xml:space="preserve">jogalkotás törvényi kellékeként tárgykörben </w:t>
      </w:r>
      <w:r>
        <w:rPr>
          <w:rFonts w:ascii="Garamond" w:hAnsi="Garamond"/>
          <w:sz w:val="24"/>
          <w:szCs w:val="24"/>
        </w:rPr>
        <w:t xml:space="preserve">egyrészt </w:t>
      </w:r>
      <w:r>
        <w:rPr>
          <w:rFonts w:ascii="Garamond" w:hAnsi="Garamond"/>
          <w:i/>
          <w:sz w:val="24"/>
          <w:szCs w:val="24"/>
        </w:rPr>
        <w:t>felhatalmazást ad az önkormányzati rendelet megalkotására</w:t>
      </w:r>
      <w:r w:rsidR="00221EF2">
        <w:rPr>
          <w:rFonts w:ascii="Garamond" w:hAnsi="Garamond"/>
          <w:sz w:val="24"/>
          <w:szCs w:val="24"/>
        </w:rPr>
        <w:t xml:space="preserve"> </w:t>
      </w:r>
      <w:r>
        <w:rPr>
          <w:rFonts w:ascii="Garamond" w:hAnsi="Garamond"/>
          <w:sz w:val="24"/>
          <w:szCs w:val="24"/>
        </w:rPr>
        <w:t xml:space="preserve">a Magyarország helyi önkormányzatairól szóló 2011. évi CLXXXIX. törvény 143. § (4) bekezdés i) pontjában, az Alaptörvény 32. cikk (1) bekezdés a) </w:t>
      </w:r>
      <w:r w:rsidR="00A407D5">
        <w:rPr>
          <w:rFonts w:ascii="Garamond" w:hAnsi="Garamond"/>
          <w:sz w:val="24"/>
          <w:szCs w:val="24"/>
        </w:rPr>
        <w:t xml:space="preserve">és e) </w:t>
      </w:r>
      <w:r>
        <w:rPr>
          <w:rFonts w:ascii="Garamond" w:hAnsi="Garamond"/>
          <w:sz w:val="24"/>
          <w:szCs w:val="24"/>
        </w:rPr>
        <w:t>pontjában</w:t>
      </w:r>
      <w:r w:rsidR="00A407D5">
        <w:rPr>
          <w:rFonts w:ascii="Garamond" w:hAnsi="Garamond"/>
          <w:sz w:val="24"/>
          <w:szCs w:val="24"/>
        </w:rPr>
        <w:t xml:space="preserve"> foglaltakat</w:t>
      </w:r>
      <w:r>
        <w:rPr>
          <w:rFonts w:ascii="Garamond" w:hAnsi="Garamond"/>
          <w:sz w:val="24"/>
          <w:szCs w:val="24"/>
        </w:rPr>
        <w:t xml:space="preserve">  alkalmazva, a </w:t>
      </w:r>
      <w:r>
        <w:rPr>
          <w:rFonts w:ascii="Garamond" w:hAnsi="Garamond"/>
          <w:i/>
          <w:sz w:val="24"/>
          <w:szCs w:val="24"/>
        </w:rPr>
        <w:t xml:space="preserve">származékos jogalkotási hatáskör </w:t>
      </w:r>
      <w:r>
        <w:rPr>
          <w:rFonts w:ascii="Garamond" w:hAnsi="Garamond"/>
          <w:sz w:val="24"/>
          <w:szCs w:val="24"/>
        </w:rPr>
        <w:t xml:space="preserve">kimondását, továbbá az </w:t>
      </w:r>
      <w:r>
        <w:rPr>
          <w:rFonts w:ascii="Garamond" w:hAnsi="Garamond"/>
          <w:i/>
          <w:sz w:val="24"/>
          <w:szCs w:val="24"/>
        </w:rPr>
        <w:t xml:space="preserve">önkormányzat feladatkörét </w:t>
      </w:r>
      <w:r>
        <w:rPr>
          <w:rFonts w:ascii="Garamond" w:hAnsi="Garamond"/>
          <w:sz w:val="24"/>
          <w:szCs w:val="24"/>
        </w:rPr>
        <w:t xml:space="preserve">a Magyarország helyi önkormányzatairól szóló 2011. évi CLXXXIX. törvény 109. § (4) bekezdésében, </w:t>
      </w:r>
      <w:r>
        <w:rPr>
          <w:rFonts w:ascii="Garamond" w:hAnsi="Garamond"/>
          <w:sz w:val="24"/>
          <w:szCs w:val="24"/>
        </w:rPr>
        <w:lastRenderedPageBreak/>
        <w:t>továbbá  a nemzeti vagyonról szóló 2011. évi CXCVI. törvény</w:t>
      </w:r>
      <w:r w:rsidR="00221EF2">
        <w:rPr>
          <w:rFonts w:ascii="Garamond" w:hAnsi="Garamond"/>
          <w:sz w:val="24"/>
          <w:szCs w:val="24"/>
        </w:rPr>
        <w:t xml:space="preserve"> </w:t>
      </w:r>
      <w:r w:rsidR="00C04DDE">
        <w:rPr>
          <w:rFonts w:ascii="Garamond" w:hAnsi="Garamond"/>
          <w:sz w:val="24"/>
          <w:szCs w:val="24"/>
        </w:rPr>
        <w:t xml:space="preserve">5. § c) pontja, a </w:t>
      </w:r>
      <w:r>
        <w:rPr>
          <w:rFonts w:ascii="Garamond" w:hAnsi="Garamond"/>
          <w:sz w:val="24"/>
          <w:szCs w:val="24"/>
        </w:rPr>
        <w:t>13. § (1) bekezdése</w:t>
      </w:r>
      <w:r w:rsidR="00221EF2">
        <w:rPr>
          <w:rFonts w:ascii="Garamond" w:hAnsi="Garamond"/>
          <w:sz w:val="24"/>
          <w:szCs w:val="24"/>
        </w:rPr>
        <w:t xml:space="preserve">n </w:t>
      </w:r>
      <w:r>
        <w:rPr>
          <w:rFonts w:ascii="Garamond" w:hAnsi="Garamond"/>
          <w:sz w:val="24"/>
          <w:szCs w:val="24"/>
        </w:rPr>
        <w:t xml:space="preserve">írtakat betartva, valamint az önkormányzat szervezeti és működési szabályzatában rögzített feladatkörében eljárni jogosított </w:t>
      </w:r>
      <w:r>
        <w:rPr>
          <w:rFonts w:ascii="Garamond" w:hAnsi="Garamond"/>
          <w:i/>
          <w:sz w:val="24"/>
          <w:szCs w:val="24"/>
        </w:rPr>
        <w:t xml:space="preserve">Bizottságok </w:t>
      </w:r>
      <w:r>
        <w:rPr>
          <w:rFonts w:ascii="Garamond" w:hAnsi="Garamond"/>
          <w:sz w:val="24"/>
          <w:szCs w:val="24"/>
        </w:rPr>
        <w:t xml:space="preserve">– az Ügyrendi, továbbá a Pénzügyi Ellenőrző, Foglalkoztatáspolitikai és Településfejlesztési – </w:t>
      </w:r>
      <w:r>
        <w:rPr>
          <w:rFonts w:ascii="Garamond" w:hAnsi="Garamond"/>
          <w:i/>
          <w:sz w:val="24"/>
          <w:szCs w:val="24"/>
        </w:rPr>
        <w:t xml:space="preserve">véleményének kikérését </w:t>
      </w:r>
      <w:r>
        <w:rPr>
          <w:rFonts w:ascii="Garamond" w:hAnsi="Garamond"/>
          <w:sz w:val="24"/>
          <w:szCs w:val="24"/>
        </w:rPr>
        <w:t>foglalja magában.</w:t>
      </w:r>
    </w:p>
    <w:p w14:paraId="3E64298E" w14:textId="77777777" w:rsidR="00E57A4C" w:rsidRDefault="00E57A4C" w:rsidP="00274481">
      <w:pPr>
        <w:ind w:right="143"/>
        <w:jc w:val="both"/>
        <w:rPr>
          <w:rFonts w:ascii="Garamond" w:hAnsi="Garamond"/>
          <w:sz w:val="24"/>
          <w:szCs w:val="24"/>
        </w:rPr>
      </w:pPr>
    </w:p>
    <w:p w14:paraId="239AEF0D" w14:textId="77777777" w:rsidR="00E57A4C" w:rsidRDefault="00E57A4C" w:rsidP="00274481">
      <w:pPr>
        <w:numPr>
          <w:ilvl w:val="0"/>
          <w:numId w:val="1"/>
        </w:numPr>
        <w:ind w:right="143"/>
        <w:jc w:val="center"/>
        <w:rPr>
          <w:rFonts w:ascii="Garamond" w:hAnsi="Garamond"/>
          <w:b/>
          <w:sz w:val="24"/>
          <w:szCs w:val="24"/>
        </w:rPr>
      </w:pPr>
      <w:r>
        <w:rPr>
          <w:rFonts w:ascii="Garamond" w:hAnsi="Garamond"/>
          <w:b/>
          <w:sz w:val="24"/>
          <w:szCs w:val="24"/>
        </w:rPr>
        <w:t>§</w:t>
      </w:r>
    </w:p>
    <w:p w14:paraId="09D17D9F" w14:textId="77777777" w:rsidR="00E57A4C" w:rsidRDefault="00E57A4C" w:rsidP="00274481">
      <w:pPr>
        <w:ind w:left="360" w:right="143"/>
        <w:jc w:val="center"/>
        <w:rPr>
          <w:rFonts w:ascii="Garamond" w:hAnsi="Garamond"/>
          <w:b/>
          <w:sz w:val="24"/>
          <w:szCs w:val="24"/>
        </w:rPr>
      </w:pPr>
    </w:p>
    <w:p w14:paraId="44CD0392" w14:textId="79083A5A" w:rsidR="00E57A4C" w:rsidRDefault="00E57A4C" w:rsidP="00274481">
      <w:pPr>
        <w:ind w:right="143"/>
        <w:jc w:val="both"/>
        <w:rPr>
          <w:rFonts w:ascii="Garamond" w:hAnsi="Garamond"/>
          <w:sz w:val="24"/>
          <w:szCs w:val="24"/>
        </w:rPr>
      </w:pPr>
      <w:r>
        <w:rPr>
          <w:rFonts w:ascii="Garamond" w:hAnsi="Garamond"/>
          <w:sz w:val="24"/>
          <w:szCs w:val="24"/>
        </w:rPr>
        <w:t xml:space="preserve">A nemzeti vagyonról szóló 2011. évi CXCVI. törvény rendelkezik az önkormányzat </w:t>
      </w:r>
      <w:r>
        <w:rPr>
          <w:rFonts w:ascii="Garamond" w:hAnsi="Garamond"/>
          <w:i/>
          <w:sz w:val="24"/>
          <w:szCs w:val="24"/>
        </w:rPr>
        <w:t>kizárólagos tulajdonában lévő vagyonelemekről</w:t>
      </w:r>
      <w:r>
        <w:rPr>
          <w:rFonts w:ascii="Garamond" w:hAnsi="Garamond"/>
          <w:sz w:val="24"/>
          <w:szCs w:val="24"/>
        </w:rPr>
        <w:t xml:space="preserve">, tételesen meghatározza annak körét, használata jogosítottját és kötelezettségeit, felsorolja a forgalomképtelen önkormányzati vagyonra kiterjesztett tilalmakat, a vagyonkezelő feladatait, amelyből egyértelműen leszűrhető, hogy olyan típusú önkormányzat, amely kis volumenű vagyonnal bír, </w:t>
      </w:r>
      <w:r>
        <w:rPr>
          <w:rFonts w:ascii="Garamond" w:hAnsi="Garamond"/>
          <w:i/>
          <w:sz w:val="24"/>
          <w:szCs w:val="24"/>
        </w:rPr>
        <w:t>a nemzetgazdaság szempontjából kiemelt fontosságú önkormányzati tulajdonban lévő forgalomképtelen nemzeti vagyonnal nem rendelkezik</w:t>
      </w:r>
      <w:r>
        <w:rPr>
          <w:rFonts w:ascii="Garamond" w:hAnsi="Garamond"/>
          <w:sz w:val="24"/>
          <w:szCs w:val="24"/>
        </w:rPr>
        <w:t>, ezért nem tud élni a törvény 5. § (2) bekezdése b) pontjában írt rendelet alkotási jogával, így nem rendeletben, hanem testületi határozatban rögzítve jeleníti  meg ezt a tényt. Tekintettel arra, hogy a nemzeti vagyonról szóló törvény fent írtakat szabályozza,  a Jat. 3. §-a pedig kimondja, hogy jogszabályban nem ismételhető meg más magasabb szintű  normában már rögzített rendelkezés, ezért az önkormányzat rendelet</w:t>
      </w:r>
      <w:r w:rsidR="00BD1CFC">
        <w:rPr>
          <w:rFonts w:ascii="Garamond" w:hAnsi="Garamond"/>
          <w:sz w:val="24"/>
          <w:szCs w:val="24"/>
        </w:rPr>
        <w:t>ében</w:t>
      </w:r>
      <w:r>
        <w:rPr>
          <w:rFonts w:ascii="Garamond" w:hAnsi="Garamond"/>
          <w:sz w:val="24"/>
          <w:szCs w:val="24"/>
        </w:rPr>
        <w:t xml:space="preserve"> csak azokban a kérdésekben van jogosultsága szabályokat alkotni, amelyre felhatalmazása van, vagy eredeti jogalkotási hatáskörben szabályozandó.  A nemzeti vagyonról szóló törvény 5. § (2) bekezdés c) pontja értelmében, az </w:t>
      </w:r>
      <w:r>
        <w:rPr>
          <w:rFonts w:ascii="Garamond" w:hAnsi="Garamond"/>
          <w:i/>
          <w:sz w:val="24"/>
          <w:szCs w:val="24"/>
        </w:rPr>
        <w:t xml:space="preserve">önkormányzat vagyona körébe az a vagyonelem </w:t>
      </w:r>
      <w:r>
        <w:rPr>
          <w:rFonts w:ascii="Garamond" w:hAnsi="Garamond"/>
          <w:sz w:val="24"/>
          <w:szCs w:val="24"/>
        </w:rPr>
        <w:t xml:space="preserve">tartozik, amelyet törvény vagy a helyi önkormányzat </w:t>
      </w:r>
      <w:r>
        <w:rPr>
          <w:rFonts w:ascii="Garamond" w:hAnsi="Garamond"/>
          <w:i/>
          <w:sz w:val="24"/>
          <w:szCs w:val="24"/>
        </w:rPr>
        <w:t xml:space="preserve">rendeletében korlátozottan forgalomképes vagyonelemként </w:t>
      </w:r>
      <w:r>
        <w:rPr>
          <w:rFonts w:ascii="Garamond" w:hAnsi="Garamond"/>
          <w:sz w:val="24"/>
          <w:szCs w:val="24"/>
        </w:rPr>
        <w:t xml:space="preserve">állapít meg. A vagyon felsorolásának terjedelme indokolja annak táblázatos formában való megjelenítését, mert így átláthatóbb, könnyebben értelmezhetőbb, ezért azt az IRM rendeletnek megfelelő formában a norma 1. </w:t>
      </w:r>
      <w:r w:rsidR="0064374B">
        <w:rPr>
          <w:rFonts w:ascii="Garamond" w:hAnsi="Garamond"/>
          <w:sz w:val="24"/>
          <w:szCs w:val="24"/>
        </w:rPr>
        <w:t xml:space="preserve">és 2. </w:t>
      </w:r>
      <w:r>
        <w:rPr>
          <w:rFonts w:ascii="Garamond" w:hAnsi="Garamond"/>
          <w:sz w:val="24"/>
          <w:szCs w:val="24"/>
        </w:rPr>
        <w:t>mellékleteként jeleníti meg a jogalkotó rendelete-tervezetében.</w:t>
      </w:r>
    </w:p>
    <w:p w14:paraId="080EC478" w14:textId="77777777" w:rsidR="00E57A4C" w:rsidRDefault="00E57A4C" w:rsidP="00274481">
      <w:pPr>
        <w:ind w:right="143"/>
        <w:jc w:val="both"/>
        <w:rPr>
          <w:rFonts w:ascii="Garamond" w:hAnsi="Garamond"/>
          <w:sz w:val="24"/>
          <w:szCs w:val="24"/>
        </w:rPr>
      </w:pPr>
    </w:p>
    <w:p w14:paraId="3993ED8F" w14:textId="77777777" w:rsidR="00E57A4C" w:rsidRDefault="00E57A4C" w:rsidP="00274481">
      <w:pPr>
        <w:numPr>
          <w:ilvl w:val="0"/>
          <w:numId w:val="1"/>
        </w:numPr>
        <w:ind w:right="143"/>
        <w:jc w:val="center"/>
        <w:rPr>
          <w:rFonts w:ascii="Garamond" w:hAnsi="Garamond"/>
          <w:b/>
          <w:sz w:val="24"/>
          <w:szCs w:val="24"/>
        </w:rPr>
      </w:pPr>
      <w:r>
        <w:rPr>
          <w:rFonts w:ascii="Garamond" w:hAnsi="Garamond"/>
          <w:b/>
          <w:sz w:val="24"/>
          <w:szCs w:val="24"/>
        </w:rPr>
        <w:t>§</w:t>
      </w:r>
    </w:p>
    <w:p w14:paraId="7B0D691A" w14:textId="77777777" w:rsidR="00E57A4C" w:rsidRDefault="00E57A4C" w:rsidP="00274481">
      <w:pPr>
        <w:ind w:right="143"/>
        <w:jc w:val="center"/>
        <w:rPr>
          <w:rFonts w:ascii="Garamond" w:hAnsi="Garamond"/>
          <w:b/>
          <w:sz w:val="24"/>
          <w:szCs w:val="24"/>
        </w:rPr>
      </w:pPr>
    </w:p>
    <w:p w14:paraId="4C8608B3" w14:textId="77777777" w:rsidR="00E57A4C" w:rsidRDefault="00E57A4C" w:rsidP="00274481">
      <w:pPr>
        <w:ind w:right="143"/>
        <w:jc w:val="both"/>
        <w:rPr>
          <w:rFonts w:ascii="Garamond" w:hAnsi="Garamond"/>
          <w:sz w:val="24"/>
          <w:szCs w:val="24"/>
        </w:rPr>
      </w:pPr>
      <w:r>
        <w:rPr>
          <w:rFonts w:ascii="Garamond" w:hAnsi="Garamond"/>
          <w:sz w:val="24"/>
          <w:szCs w:val="24"/>
        </w:rPr>
        <w:t xml:space="preserve">Az önkormányzat törzsvagyona feletti tulajdonosi jogok gyakorlására a képviselő-testület jogosult, mely szervezeti szinten még akkor is, ha az önkormányzat szervezeti és működési szabályzata lehetővé teszi rövid idő alatti döntésképességét, mégis rugalmatlan abból a szempontból, hogy bizottsági véleményekhez kötött, annak kialakítása előtt, majd a testület döntése előtti időszak legoptimálisabb esetben is legalább 6 napot tesz ki, ami egy- egy  ügylet (azonnali, gyors döntést igénylő) megkötését ellehetetlenítheti. A közpénzek felhasználására és annak ellenőrzésére irányuló központi jogszabályokban foglaltak teljesítése, a bürokratikus folyamat véghezvitele nem minden esetben segíti a hatékony, gazdaságos, eredményes vagyongazdálkodás végrehajtását, ezért </w:t>
      </w:r>
      <w:r>
        <w:rPr>
          <w:rFonts w:ascii="Garamond" w:hAnsi="Garamond"/>
          <w:i/>
          <w:sz w:val="24"/>
          <w:szCs w:val="24"/>
        </w:rPr>
        <w:t xml:space="preserve">célszerűségi </w:t>
      </w:r>
      <w:r>
        <w:rPr>
          <w:rFonts w:ascii="Garamond" w:hAnsi="Garamond"/>
          <w:sz w:val="24"/>
          <w:szCs w:val="24"/>
        </w:rPr>
        <w:t xml:space="preserve">szempont indokolja </w:t>
      </w:r>
      <w:r>
        <w:rPr>
          <w:rFonts w:ascii="Garamond" w:hAnsi="Garamond"/>
          <w:i/>
          <w:sz w:val="24"/>
          <w:szCs w:val="24"/>
        </w:rPr>
        <w:t xml:space="preserve">a tulajdonosi jogok közül a vagyon hasznosítása jogának polgármesterre való átruházását, adott korlátok között, beszámolási kötelezettség terhe mellett. </w:t>
      </w:r>
      <w:r>
        <w:rPr>
          <w:rFonts w:ascii="Garamond" w:hAnsi="Garamond"/>
          <w:sz w:val="24"/>
          <w:szCs w:val="24"/>
        </w:rPr>
        <w:t>Ezzel megmarad az ügyletek kötésénél a gyorsaság elvéből adódó előny, a testület szemszögéből pedig az önkormányzat adott évi költségvetése ezen a címem elkülönített összege feletti rendelkezési joga általi felügyelet, a beszámolás által pedig a vagyonnal való gazdálkodás feletti ellenőrzési jog. Az egy millió forint összeg feletti rendelkezés jogát (amely elvétve fordul ugyan elő) a testület magánál tartja, így a költségvetési szigor is érvényesül, továbbá a nemzeti vagyonról szóló törvény 13. § (1) bekezdésében írtaknak is eleget tesz a helyi jogalkotó.</w:t>
      </w:r>
    </w:p>
    <w:p w14:paraId="4D08976A" w14:textId="77777777" w:rsidR="00E57A4C" w:rsidRDefault="00E57A4C" w:rsidP="00274481">
      <w:pPr>
        <w:ind w:right="143"/>
        <w:jc w:val="both"/>
        <w:rPr>
          <w:rFonts w:ascii="Garamond" w:hAnsi="Garamond"/>
          <w:sz w:val="24"/>
          <w:szCs w:val="24"/>
        </w:rPr>
      </w:pPr>
    </w:p>
    <w:p w14:paraId="5DA595EC" w14:textId="77777777" w:rsidR="00E57A4C" w:rsidRDefault="00E57A4C" w:rsidP="00274481">
      <w:pPr>
        <w:numPr>
          <w:ilvl w:val="0"/>
          <w:numId w:val="1"/>
        </w:numPr>
        <w:ind w:right="143"/>
        <w:jc w:val="center"/>
        <w:rPr>
          <w:rFonts w:ascii="Garamond" w:hAnsi="Garamond"/>
          <w:b/>
          <w:sz w:val="24"/>
          <w:szCs w:val="24"/>
        </w:rPr>
      </w:pPr>
      <w:r>
        <w:rPr>
          <w:rFonts w:ascii="Garamond" w:hAnsi="Garamond"/>
          <w:b/>
          <w:sz w:val="24"/>
          <w:szCs w:val="24"/>
        </w:rPr>
        <w:t>§</w:t>
      </w:r>
    </w:p>
    <w:p w14:paraId="34756576" w14:textId="77777777" w:rsidR="00E57A4C" w:rsidRDefault="00E57A4C" w:rsidP="00274481">
      <w:pPr>
        <w:ind w:right="143"/>
        <w:jc w:val="center"/>
        <w:rPr>
          <w:rFonts w:ascii="Garamond" w:hAnsi="Garamond"/>
          <w:b/>
          <w:sz w:val="24"/>
          <w:szCs w:val="24"/>
        </w:rPr>
      </w:pPr>
    </w:p>
    <w:p w14:paraId="42B5772D" w14:textId="17C50F7D" w:rsidR="00E57A4C" w:rsidRPr="00885618" w:rsidRDefault="00E57A4C" w:rsidP="00885618">
      <w:pPr>
        <w:ind w:right="143"/>
        <w:jc w:val="both"/>
        <w:rPr>
          <w:rFonts w:ascii="Garamond" w:hAnsi="Garamond"/>
          <w:sz w:val="24"/>
          <w:szCs w:val="24"/>
        </w:rPr>
      </w:pPr>
      <w:r>
        <w:rPr>
          <w:rFonts w:ascii="Garamond" w:hAnsi="Garamond"/>
          <w:sz w:val="24"/>
          <w:szCs w:val="24"/>
        </w:rPr>
        <w:t xml:space="preserve">Több központi jogszabály is lehetőséget teremt a helyi önkormányzatok számára </w:t>
      </w:r>
      <w:r>
        <w:rPr>
          <w:rFonts w:ascii="Garamond" w:hAnsi="Garamond"/>
          <w:i/>
          <w:sz w:val="24"/>
          <w:szCs w:val="24"/>
        </w:rPr>
        <w:t>elővásárlási jog gyakorlására</w:t>
      </w:r>
      <w:r>
        <w:rPr>
          <w:rFonts w:ascii="Garamond" w:hAnsi="Garamond"/>
          <w:sz w:val="24"/>
          <w:szCs w:val="24"/>
        </w:rPr>
        <w:t xml:space="preserve">, így pl. a nemzeti földalapról szóló törvény, amely a közfoglalkoztatás érdekében pályázat formájában teremt lehetőséget állami tulajdonban lévő termőföld ingyenes önkormányzati kezelésbe adására- vételére az állásnélküliek mezőgazdasági művelésbe való bevonására, a helybeli foglalkoztatást elősegítve, vagy a </w:t>
      </w:r>
      <w:r>
        <w:rPr>
          <w:rFonts w:ascii="Garamond" w:hAnsi="Garamond"/>
          <w:i/>
          <w:sz w:val="24"/>
          <w:szCs w:val="24"/>
        </w:rPr>
        <w:t xml:space="preserve">természetvédelemről </w:t>
      </w:r>
      <w:r>
        <w:rPr>
          <w:rFonts w:ascii="Garamond" w:hAnsi="Garamond"/>
          <w:sz w:val="24"/>
          <w:szCs w:val="24"/>
        </w:rPr>
        <w:t>szóló törvény, amely a természetvédelmi területek (pl. a Natura 2000 területek) hasznosítása terén a magyar államot követően a 2. helyre rangsorolja a helyi önkormányzatokat</w:t>
      </w:r>
      <w:r>
        <w:rPr>
          <w:rFonts w:ascii="Garamond" w:hAnsi="Garamond"/>
          <w:i/>
          <w:sz w:val="24"/>
          <w:szCs w:val="24"/>
        </w:rPr>
        <w:t>,</w:t>
      </w:r>
      <w:r>
        <w:rPr>
          <w:rFonts w:ascii="Garamond" w:hAnsi="Garamond"/>
          <w:sz w:val="24"/>
          <w:szCs w:val="24"/>
        </w:rPr>
        <w:t xml:space="preserve"> de említhetem az </w:t>
      </w:r>
      <w:r>
        <w:rPr>
          <w:rFonts w:ascii="Garamond" w:hAnsi="Garamond"/>
          <w:i/>
          <w:sz w:val="24"/>
          <w:szCs w:val="24"/>
        </w:rPr>
        <w:t xml:space="preserve">árverésre kitűzött ingatlanok </w:t>
      </w:r>
      <w:r>
        <w:rPr>
          <w:rFonts w:ascii="Garamond" w:hAnsi="Garamond"/>
          <w:sz w:val="24"/>
          <w:szCs w:val="24"/>
        </w:rPr>
        <w:t xml:space="preserve">esetén fennálló elővásárlási jog érvényesítésének gyakorlatát </w:t>
      </w:r>
      <w:r>
        <w:rPr>
          <w:rFonts w:ascii="Garamond" w:hAnsi="Garamond"/>
          <w:sz w:val="24"/>
          <w:szCs w:val="24"/>
        </w:rPr>
        <w:lastRenderedPageBreak/>
        <w:t xml:space="preserve">is, amely a településen közfeladat ellátására alkalmas  ingatlan méltányos áron való megszerzését teszi lehetővé, és még több ilyen lehetőség áll rendelkezésre. Ezek vitathatatlanul </w:t>
      </w:r>
      <w:r>
        <w:rPr>
          <w:rFonts w:ascii="Garamond" w:hAnsi="Garamond"/>
          <w:i/>
          <w:sz w:val="24"/>
          <w:szCs w:val="24"/>
        </w:rPr>
        <w:t xml:space="preserve">előnyt jelentenek </w:t>
      </w:r>
      <w:r>
        <w:rPr>
          <w:rFonts w:ascii="Garamond" w:hAnsi="Garamond"/>
          <w:sz w:val="24"/>
          <w:szCs w:val="24"/>
        </w:rPr>
        <w:t>a helyi</w:t>
      </w:r>
      <w:r>
        <w:rPr>
          <w:rFonts w:ascii="Garamond" w:hAnsi="Garamond"/>
          <w:i/>
          <w:sz w:val="24"/>
          <w:szCs w:val="24"/>
        </w:rPr>
        <w:t xml:space="preserve"> </w:t>
      </w:r>
      <w:r>
        <w:rPr>
          <w:rFonts w:ascii="Garamond" w:hAnsi="Garamond"/>
          <w:sz w:val="24"/>
          <w:szCs w:val="24"/>
        </w:rPr>
        <w:t xml:space="preserve">költségvetésből gazdálkodó szervezet számára, mert költségtakarékos, helyben megvalósuló megoldásokat eredményez akkor, ha az adott időintervallumon belül tud reagálni az arra jogosított, így itt is igaz az előző szakaszban már indokként felhozott érv, a </w:t>
      </w:r>
      <w:r>
        <w:rPr>
          <w:rFonts w:ascii="Garamond" w:hAnsi="Garamond"/>
          <w:i/>
          <w:sz w:val="24"/>
          <w:szCs w:val="24"/>
        </w:rPr>
        <w:t>gyorsaság  elvének</w:t>
      </w:r>
      <w:r>
        <w:rPr>
          <w:rFonts w:ascii="Garamond" w:hAnsi="Garamond"/>
          <w:sz w:val="24"/>
          <w:szCs w:val="24"/>
        </w:rPr>
        <w:t xml:space="preserve">  alkalmazása, a testület általi ellenőrzési technika érvényesítése mellett, ezért jól körül</w:t>
      </w:r>
      <w:r w:rsidR="00C04DDE">
        <w:rPr>
          <w:rFonts w:ascii="Garamond" w:hAnsi="Garamond"/>
          <w:sz w:val="24"/>
          <w:szCs w:val="24"/>
        </w:rPr>
        <w:t>-</w:t>
      </w:r>
      <w:r>
        <w:rPr>
          <w:rFonts w:ascii="Garamond" w:hAnsi="Garamond"/>
          <w:sz w:val="24"/>
          <w:szCs w:val="24"/>
        </w:rPr>
        <w:t xml:space="preserve">határolt keretek között </w:t>
      </w:r>
      <w:r>
        <w:rPr>
          <w:rFonts w:ascii="Garamond" w:hAnsi="Garamond"/>
          <w:i/>
          <w:sz w:val="24"/>
          <w:szCs w:val="24"/>
        </w:rPr>
        <w:t xml:space="preserve">célszerűségi </w:t>
      </w:r>
      <w:r>
        <w:rPr>
          <w:rFonts w:ascii="Garamond" w:hAnsi="Garamond"/>
          <w:sz w:val="24"/>
          <w:szCs w:val="24"/>
        </w:rPr>
        <w:t xml:space="preserve">szempont indokolja (a beszámoltatási kötelezettség melletti), </w:t>
      </w:r>
      <w:r>
        <w:rPr>
          <w:rFonts w:ascii="Garamond" w:hAnsi="Garamond"/>
          <w:i/>
          <w:sz w:val="24"/>
          <w:szCs w:val="24"/>
        </w:rPr>
        <w:t xml:space="preserve">a testületet  megillető  elővásárlási  jog  gyakorlásának polgármesterre való átruházását  </w:t>
      </w:r>
      <w:r>
        <w:rPr>
          <w:rFonts w:ascii="Garamond" w:hAnsi="Garamond"/>
          <w:sz w:val="24"/>
          <w:szCs w:val="24"/>
        </w:rPr>
        <w:t xml:space="preserve">ugyanúgy mint az adott </w:t>
      </w:r>
      <w:r>
        <w:rPr>
          <w:rFonts w:ascii="Garamond" w:hAnsi="Garamond"/>
          <w:i/>
          <w:sz w:val="24"/>
          <w:szCs w:val="24"/>
        </w:rPr>
        <w:t xml:space="preserve">ingatlan vásárlását </w:t>
      </w:r>
      <w:r>
        <w:rPr>
          <w:rFonts w:ascii="Garamond" w:hAnsi="Garamond"/>
          <w:sz w:val="24"/>
          <w:szCs w:val="24"/>
        </w:rPr>
        <w:t>is, pl. vis</w:t>
      </w:r>
      <w:r w:rsidR="00D42A97">
        <w:rPr>
          <w:rFonts w:ascii="Garamond" w:hAnsi="Garamond"/>
          <w:sz w:val="24"/>
          <w:szCs w:val="24"/>
        </w:rPr>
        <w:t>-</w:t>
      </w:r>
      <w:r>
        <w:rPr>
          <w:rFonts w:ascii="Garamond" w:hAnsi="Garamond"/>
          <w:sz w:val="24"/>
          <w:szCs w:val="24"/>
        </w:rPr>
        <w:t xml:space="preserve"> maior helyzet kezelésével (belvíz miatt lakóházban keletkezett kár elhárítása, a településen belül lévő használt-lakás vásárlásával), amelyet az önkormányzat adott évi költségvetése ezen a címen elkülönített összege fedezetként biztosít.</w:t>
      </w:r>
    </w:p>
    <w:p w14:paraId="46A9DD01" w14:textId="77777777" w:rsidR="00E57A4C" w:rsidRDefault="00E57A4C" w:rsidP="00274481">
      <w:pPr>
        <w:ind w:right="143"/>
        <w:jc w:val="both"/>
        <w:rPr>
          <w:rFonts w:ascii="Garamond" w:hAnsi="Garamond"/>
          <w:sz w:val="24"/>
          <w:szCs w:val="24"/>
        </w:rPr>
      </w:pPr>
      <w:r>
        <w:rPr>
          <w:rFonts w:ascii="Garamond" w:hAnsi="Garamond"/>
          <w:sz w:val="24"/>
          <w:szCs w:val="24"/>
        </w:rPr>
        <w:t xml:space="preserve">A közpénzek kezelése, az üvegzseb törvényben foglaltak érvényesítése, az Alaptörvény, a Stabilizációs törvény, az Áht. és annak végrehajtására kiadott Ávr., a nemzeti vagyonról szóló törvény, az Mötv. és még számos más központi jogszabály és azok rendelkezése alapján kialakított számtalan belső szabályzat, pl. a pénzügyi ügyrend, a közbeszerzési, a közbeszerzési értékhatárt el nem érő beszerzésekre irányuló, a szabálytalanságok kezelésére irányadó, a hivatal szervezeti és működési szabályzata, az önkormányzat költségvetési rendelete, mind- mind tartalmaz olyan előírásokat, amely </w:t>
      </w:r>
      <w:r>
        <w:rPr>
          <w:rFonts w:ascii="Garamond" w:hAnsi="Garamond"/>
          <w:i/>
          <w:sz w:val="24"/>
          <w:szCs w:val="24"/>
        </w:rPr>
        <w:t xml:space="preserve">a versenyeztetés, a pályáztatás </w:t>
      </w:r>
      <w:r>
        <w:rPr>
          <w:rFonts w:ascii="Garamond" w:hAnsi="Garamond"/>
          <w:sz w:val="24"/>
          <w:szCs w:val="24"/>
        </w:rPr>
        <w:t xml:space="preserve">kötelező érvényesítését, vagy az  alóli mentesítés lehetőségét írja elő.  Ezekhez igazodik az önkormányzati rendelet ezen szakasza is, amely összeghatárhoz köti  az önkormányzat közfeladata végrehajtásában leltározás után már  </w:t>
      </w:r>
      <w:r>
        <w:rPr>
          <w:rFonts w:ascii="Garamond" w:hAnsi="Garamond"/>
          <w:i/>
          <w:sz w:val="24"/>
          <w:szCs w:val="24"/>
        </w:rPr>
        <w:t xml:space="preserve">feleslegessé vált vagyonelemek pályázat nélküli értékesíthetőségét,  </w:t>
      </w:r>
      <w:r>
        <w:rPr>
          <w:rFonts w:ascii="Garamond" w:hAnsi="Garamond"/>
          <w:sz w:val="24"/>
          <w:szCs w:val="24"/>
        </w:rPr>
        <w:t>valamint  a  polgármester által felhívás formájában meghirdetett  eljárás és bírálat esetére  kötelezést mond ki a nyilvánosság bevonására, a közérdek érvényesítésére.</w:t>
      </w:r>
    </w:p>
    <w:p w14:paraId="7D90392A" w14:textId="77777777" w:rsidR="00E57A4C" w:rsidRDefault="00E57A4C" w:rsidP="00274481">
      <w:pPr>
        <w:ind w:right="143"/>
        <w:jc w:val="both"/>
        <w:rPr>
          <w:rFonts w:ascii="Garamond" w:hAnsi="Garamond"/>
          <w:sz w:val="24"/>
          <w:szCs w:val="24"/>
        </w:rPr>
      </w:pPr>
    </w:p>
    <w:p w14:paraId="20EDFD3E" w14:textId="69F9E470" w:rsidR="00E57A4C" w:rsidRDefault="00885618" w:rsidP="00885618">
      <w:pPr>
        <w:ind w:left="360" w:right="143"/>
        <w:jc w:val="center"/>
        <w:rPr>
          <w:rFonts w:ascii="Garamond" w:hAnsi="Garamond"/>
          <w:b/>
          <w:sz w:val="24"/>
          <w:szCs w:val="24"/>
        </w:rPr>
      </w:pPr>
      <w:r>
        <w:rPr>
          <w:rFonts w:ascii="Garamond" w:hAnsi="Garamond"/>
          <w:b/>
          <w:sz w:val="24"/>
          <w:szCs w:val="24"/>
        </w:rPr>
        <w:t xml:space="preserve">4. </w:t>
      </w:r>
      <w:r w:rsidR="00E57A4C">
        <w:rPr>
          <w:rFonts w:ascii="Garamond" w:hAnsi="Garamond"/>
          <w:b/>
          <w:sz w:val="24"/>
          <w:szCs w:val="24"/>
        </w:rPr>
        <w:t>§</w:t>
      </w:r>
    </w:p>
    <w:p w14:paraId="6518E619" w14:textId="77777777" w:rsidR="00E57A4C" w:rsidRDefault="00E57A4C" w:rsidP="00274481">
      <w:pPr>
        <w:ind w:right="143"/>
        <w:rPr>
          <w:rFonts w:ascii="Garamond" w:hAnsi="Garamond"/>
          <w:b/>
          <w:sz w:val="24"/>
          <w:szCs w:val="24"/>
        </w:rPr>
      </w:pPr>
    </w:p>
    <w:p w14:paraId="07403E3A" w14:textId="272A6F2D" w:rsidR="00E57A4C" w:rsidRDefault="00E57A4C" w:rsidP="00274481">
      <w:pPr>
        <w:ind w:right="143"/>
        <w:jc w:val="both"/>
        <w:rPr>
          <w:rFonts w:ascii="Garamond" w:hAnsi="Garamond"/>
          <w:sz w:val="24"/>
          <w:szCs w:val="24"/>
        </w:rPr>
      </w:pPr>
      <w:r>
        <w:rPr>
          <w:rFonts w:ascii="Garamond" w:hAnsi="Garamond"/>
          <w:sz w:val="24"/>
          <w:szCs w:val="24"/>
        </w:rPr>
        <w:t>Az önkormányzat számára az Mötv. által előírt közfeladat módosulása miatt előálló azon helyzetre ad megoldást, amely feladathoz rendelt ingó- ingatlan vagyon ingyenes átengedésére van szükség</w:t>
      </w:r>
      <w:r w:rsidR="00D42A97">
        <w:rPr>
          <w:rFonts w:ascii="Garamond" w:hAnsi="Garamond"/>
          <w:sz w:val="24"/>
          <w:szCs w:val="24"/>
        </w:rPr>
        <w:t xml:space="preserve">, ezért </w:t>
      </w:r>
      <w:r>
        <w:rPr>
          <w:rFonts w:ascii="Garamond" w:hAnsi="Garamond"/>
          <w:sz w:val="24"/>
          <w:szCs w:val="24"/>
        </w:rPr>
        <w:t>rendelkezik az önkormányzati vagyon ingyenes vagyonkezelésbe adásáról</w:t>
      </w:r>
      <w:r w:rsidR="00D42A97">
        <w:rPr>
          <w:rFonts w:ascii="Garamond" w:hAnsi="Garamond"/>
          <w:sz w:val="24"/>
          <w:szCs w:val="24"/>
        </w:rPr>
        <w:t>.</w:t>
      </w:r>
      <w:r>
        <w:rPr>
          <w:rFonts w:ascii="Garamond" w:hAnsi="Garamond"/>
          <w:sz w:val="24"/>
          <w:szCs w:val="24"/>
        </w:rPr>
        <w:t xml:space="preserve"> </w:t>
      </w:r>
      <w:r w:rsidR="00D42A97">
        <w:rPr>
          <w:rFonts w:ascii="Garamond" w:hAnsi="Garamond"/>
          <w:sz w:val="24"/>
          <w:szCs w:val="24"/>
        </w:rPr>
        <w:t>A</w:t>
      </w:r>
      <w:r>
        <w:rPr>
          <w:rFonts w:ascii="Garamond" w:hAnsi="Garamond"/>
          <w:sz w:val="24"/>
          <w:szCs w:val="24"/>
        </w:rPr>
        <w:t>z Mötv. 109. § (4) bekezdése önkormányzati rendeletbe íratja elő a vagyonkezelői jog ingyenes átengedésének és a jog gyakorlásának ellenőrzési szabályait, melyet az Áht. 70. §-a szerint a belső ellenőrzéssel valósít meg a hivatal a Pénzügyi Ügyrendje és csatolt szabályzatai szerint.</w:t>
      </w:r>
      <w:r w:rsidR="00885618">
        <w:rPr>
          <w:rFonts w:ascii="Garamond" w:hAnsi="Garamond"/>
          <w:sz w:val="24"/>
          <w:szCs w:val="24"/>
        </w:rPr>
        <w:t xml:space="preserve"> Az önkormányzat által társulásba adott intézményi feladatellátás szervezeti változása tette szükségessé az alaprendelet 5. § (1) bekezdés d) pontja módosítását, amely a „mini bölcs</w:t>
      </w:r>
      <w:r w:rsidR="0009374F">
        <w:rPr>
          <w:rFonts w:ascii="Garamond" w:hAnsi="Garamond"/>
          <w:sz w:val="24"/>
          <w:szCs w:val="24"/>
        </w:rPr>
        <w:t>ő</w:t>
      </w:r>
      <w:r w:rsidR="00885618">
        <w:rPr>
          <w:rFonts w:ascii="Garamond" w:hAnsi="Garamond"/>
          <w:sz w:val="24"/>
          <w:szCs w:val="24"/>
        </w:rPr>
        <w:t>dei” szöveggel egészül ki.</w:t>
      </w:r>
    </w:p>
    <w:p w14:paraId="469FF530" w14:textId="77777777" w:rsidR="00E57A4C" w:rsidRDefault="00E57A4C" w:rsidP="00274481">
      <w:pPr>
        <w:ind w:right="143"/>
        <w:jc w:val="both"/>
        <w:rPr>
          <w:rFonts w:ascii="Garamond" w:hAnsi="Garamond"/>
          <w:sz w:val="24"/>
          <w:szCs w:val="24"/>
        </w:rPr>
      </w:pPr>
    </w:p>
    <w:p w14:paraId="018DFC2C" w14:textId="77777777" w:rsidR="00E57A4C" w:rsidRDefault="00E57A4C" w:rsidP="00274481">
      <w:pPr>
        <w:numPr>
          <w:ilvl w:val="0"/>
          <w:numId w:val="2"/>
        </w:numPr>
        <w:ind w:right="143"/>
        <w:jc w:val="center"/>
        <w:rPr>
          <w:rFonts w:ascii="Garamond" w:hAnsi="Garamond"/>
          <w:b/>
          <w:sz w:val="24"/>
          <w:szCs w:val="24"/>
        </w:rPr>
      </w:pPr>
      <w:r>
        <w:rPr>
          <w:rFonts w:ascii="Garamond" w:hAnsi="Garamond"/>
          <w:b/>
          <w:sz w:val="24"/>
          <w:szCs w:val="24"/>
        </w:rPr>
        <w:t>§</w:t>
      </w:r>
    </w:p>
    <w:p w14:paraId="3F0FCD45" w14:textId="0A9B83D4" w:rsidR="00E57A4C" w:rsidRDefault="00E57A4C" w:rsidP="00274481">
      <w:pPr>
        <w:ind w:right="143"/>
        <w:jc w:val="center"/>
        <w:rPr>
          <w:rFonts w:ascii="Garamond" w:hAnsi="Garamond"/>
          <w:b/>
          <w:sz w:val="24"/>
          <w:szCs w:val="24"/>
        </w:rPr>
      </w:pPr>
    </w:p>
    <w:p w14:paraId="0B1D0B4D" w14:textId="530550DC" w:rsidR="00DF4E71" w:rsidRDefault="00DF4E71" w:rsidP="00DF4E71">
      <w:pPr>
        <w:ind w:right="143"/>
        <w:jc w:val="both"/>
        <w:rPr>
          <w:rFonts w:ascii="Garamond" w:hAnsi="Garamond"/>
          <w:bCs/>
          <w:sz w:val="24"/>
          <w:szCs w:val="24"/>
        </w:rPr>
      </w:pPr>
      <w:r>
        <w:rPr>
          <w:rFonts w:ascii="Garamond" w:hAnsi="Garamond"/>
          <w:bCs/>
          <w:sz w:val="24"/>
          <w:szCs w:val="24"/>
        </w:rPr>
        <w:t>Ebben a szakaszban kapott helyet az alaprendelet 1. és 2. mellékletének cseréje</w:t>
      </w:r>
      <w:r w:rsidR="00392502">
        <w:rPr>
          <w:rFonts w:ascii="Garamond" w:hAnsi="Garamond"/>
          <w:bCs/>
          <w:sz w:val="24"/>
          <w:szCs w:val="24"/>
        </w:rPr>
        <w:t>, amely a forgalomképtelen és a korlátozottan forgalomképes vagyonelemek változásának átvezetését teszi lehetővé.</w:t>
      </w:r>
    </w:p>
    <w:p w14:paraId="0DFBED4E" w14:textId="14CB7399" w:rsidR="00392502" w:rsidRDefault="00392502" w:rsidP="00DF4E71">
      <w:pPr>
        <w:ind w:right="143"/>
        <w:jc w:val="both"/>
        <w:rPr>
          <w:rFonts w:ascii="Garamond" w:hAnsi="Garamond"/>
          <w:bCs/>
          <w:sz w:val="24"/>
          <w:szCs w:val="24"/>
        </w:rPr>
      </w:pPr>
    </w:p>
    <w:p w14:paraId="5C1E7924" w14:textId="13015A2F" w:rsidR="00392502" w:rsidRPr="00392502" w:rsidRDefault="00392502" w:rsidP="00392502">
      <w:pPr>
        <w:ind w:right="143"/>
        <w:jc w:val="center"/>
        <w:rPr>
          <w:rFonts w:ascii="Garamond" w:hAnsi="Garamond"/>
          <w:b/>
          <w:sz w:val="24"/>
          <w:szCs w:val="24"/>
        </w:rPr>
      </w:pPr>
      <w:r>
        <w:rPr>
          <w:rFonts w:ascii="Garamond" w:hAnsi="Garamond"/>
          <w:b/>
          <w:sz w:val="24"/>
          <w:szCs w:val="24"/>
        </w:rPr>
        <w:t xml:space="preserve">6. § </w:t>
      </w:r>
    </w:p>
    <w:p w14:paraId="6978332D" w14:textId="77777777" w:rsidR="00DF4E71" w:rsidRDefault="00DF4E71" w:rsidP="00274481">
      <w:pPr>
        <w:ind w:right="143"/>
        <w:jc w:val="center"/>
        <w:rPr>
          <w:rFonts w:ascii="Garamond" w:hAnsi="Garamond"/>
          <w:b/>
          <w:sz w:val="24"/>
          <w:szCs w:val="24"/>
        </w:rPr>
      </w:pPr>
    </w:p>
    <w:p w14:paraId="5C42AD21" w14:textId="3119A693" w:rsidR="00E57A4C" w:rsidRDefault="00E57A4C" w:rsidP="00274481">
      <w:pPr>
        <w:ind w:right="143"/>
        <w:jc w:val="both"/>
        <w:rPr>
          <w:rFonts w:ascii="Garamond" w:hAnsi="Garamond"/>
          <w:sz w:val="24"/>
          <w:szCs w:val="24"/>
        </w:rPr>
      </w:pPr>
      <w:r>
        <w:rPr>
          <w:rFonts w:ascii="Garamond" w:hAnsi="Garamond"/>
          <w:sz w:val="24"/>
          <w:szCs w:val="24"/>
        </w:rPr>
        <w:t xml:space="preserve">A </w:t>
      </w:r>
      <w:r>
        <w:rPr>
          <w:rFonts w:ascii="Garamond" w:hAnsi="Garamond"/>
          <w:i/>
          <w:sz w:val="24"/>
          <w:szCs w:val="24"/>
        </w:rPr>
        <w:t xml:space="preserve">záró rendelkezések  </w:t>
      </w:r>
      <w:r>
        <w:rPr>
          <w:rFonts w:ascii="Garamond" w:hAnsi="Garamond"/>
          <w:sz w:val="24"/>
          <w:szCs w:val="24"/>
        </w:rPr>
        <w:t>alcím</w:t>
      </w:r>
      <w:r>
        <w:rPr>
          <w:rFonts w:ascii="Garamond" w:hAnsi="Garamond"/>
          <w:i/>
          <w:sz w:val="24"/>
          <w:szCs w:val="24"/>
        </w:rPr>
        <w:t xml:space="preserve"> </w:t>
      </w:r>
      <w:r>
        <w:rPr>
          <w:rFonts w:ascii="Garamond" w:hAnsi="Garamond"/>
          <w:sz w:val="24"/>
          <w:szCs w:val="24"/>
        </w:rPr>
        <w:t>az IRM rendelet 78. §-ában szabályozott</w:t>
      </w:r>
      <w:r w:rsidR="00D42A97">
        <w:rPr>
          <w:rFonts w:ascii="Garamond" w:hAnsi="Garamond"/>
          <w:sz w:val="24"/>
          <w:szCs w:val="24"/>
        </w:rPr>
        <w:t xml:space="preserve"> módon</w:t>
      </w:r>
      <w:r>
        <w:rPr>
          <w:rFonts w:ascii="Garamond" w:hAnsi="Garamond"/>
          <w:sz w:val="24"/>
          <w:szCs w:val="24"/>
        </w:rPr>
        <w:t xml:space="preserve"> tartalmazza </w:t>
      </w:r>
      <w:r>
        <w:rPr>
          <w:rFonts w:ascii="Garamond" w:hAnsi="Garamond"/>
          <w:i/>
          <w:sz w:val="24"/>
          <w:szCs w:val="24"/>
        </w:rPr>
        <w:t>a rendelet-tervezet hatályba</w:t>
      </w:r>
      <w:r>
        <w:rPr>
          <w:rFonts w:ascii="Garamond" w:hAnsi="Garamond"/>
          <w:sz w:val="24"/>
          <w:szCs w:val="24"/>
        </w:rPr>
        <w:t xml:space="preserve"> </w:t>
      </w:r>
      <w:r>
        <w:rPr>
          <w:rFonts w:ascii="Garamond" w:hAnsi="Garamond"/>
          <w:i/>
          <w:sz w:val="24"/>
          <w:szCs w:val="24"/>
        </w:rPr>
        <w:t>léptetése időpontja helyét és a hatályba lépésre utaló szöveget.</w:t>
      </w:r>
      <w:r>
        <w:rPr>
          <w:rFonts w:ascii="Garamond" w:hAnsi="Garamond"/>
          <w:sz w:val="24"/>
          <w:szCs w:val="24"/>
        </w:rPr>
        <w:t xml:space="preserve"> A jogszabály kihirdetése és hatályba lépése között „kellő idő” áll rendelkezésre, mivel  felkészülést nem igényel az érintettek számára, hiszen </w:t>
      </w:r>
      <w:r>
        <w:rPr>
          <w:rFonts w:ascii="Garamond" w:hAnsi="Garamond"/>
          <w:i/>
          <w:sz w:val="24"/>
          <w:szCs w:val="24"/>
        </w:rPr>
        <w:t xml:space="preserve">ez a rendelet-tervezet az önkormányzat un. „belső normája”.  </w:t>
      </w:r>
      <w:r>
        <w:rPr>
          <w:rFonts w:ascii="Garamond" w:hAnsi="Garamond"/>
          <w:sz w:val="24"/>
          <w:szCs w:val="24"/>
        </w:rPr>
        <w:t xml:space="preserve">A rendelet-tervezet hirdetményben való közzététele biztosított volt,  iránta a település lakossága részéről érdeklődés nem mutatkozott. </w:t>
      </w:r>
      <w:r>
        <w:rPr>
          <w:rFonts w:ascii="Garamond" w:hAnsi="Garamond"/>
          <w:i/>
          <w:sz w:val="24"/>
          <w:szCs w:val="24"/>
        </w:rPr>
        <w:t xml:space="preserve">A rendelet hatályba léptetése feltételhez nem kötött, </w:t>
      </w:r>
      <w:r>
        <w:rPr>
          <w:rFonts w:ascii="Garamond" w:hAnsi="Garamond"/>
          <w:sz w:val="24"/>
          <w:szCs w:val="24"/>
        </w:rPr>
        <w:t xml:space="preserve">határozott időpontjaként: </w:t>
      </w:r>
      <w:r>
        <w:rPr>
          <w:rFonts w:ascii="Garamond" w:hAnsi="Garamond"/>
          <w:i/>
          <w:sz w:val="24"/>
          <w:szCs w:val="24"/>
        </w:rPr>
        <w:t>20</w:t>
      </w:r>
      <w:r w:rsidR="00D42A97">
        <w:rPr>
          <w:rFonts w:ascii="Garamond" w:hAnsi="Garamond"/>
          <w:i/>
          <w:sz w:val="24"/>
          <w:szCs w:val="24"/>
        </w:rPr>
        <w:t>22</w:t>
      </w:r>
      <w:r>
        <w:rPr>
          <w:rFonts w:ascii="Garamond" w:hAnsi="Garamond"/>
          <w:i/>
          <w:sz w:val="24"/>
          <w:szCs w:val="24"/>
        </w:rPr>
        <w:t xml:space="preserve">. </w:t>
      </w:r>
      <w:r w:rsidR="00D42A97">
        <w:rPr>
          <w:rFonts w:ascii="Garamond" w:hAnsi="Garamond"/>
          <w:i/>
          <w:sz w:val="24"/>
          <w:szCs w:val="24"/>
        </w:rPr>
        <w:t>április</w:t>
      </w:r>
      <w:r>
        <w:rPr>
          <w:rFonts w:ascii="Garamond" w:hAnsi="Garamond"/>
          <w:i/>
          <w:sz w:val="24"/>
          <w:szCs w:val="24"/>
        </w:rPr>
        <w:t xml:space="preserve"> 01. napját </w:t>
      </w:r>
      <w:r>
        <w:rPr>
          <w:rFonts w:ascii="Garamond" w:hAnsi="Garamond"/>
          <w:sz w:val="24"/>
          <w:szCs w:val="24"/>
        </w:rPr>
        <w:t>az is indokolja, hogy</w:t>
      </w:r>
      <w:r>
        <w:rPr>
          <w:rFonts w:ascii="Garamond" w:hAnsi="Garamond"/>
          <w:i/>
          <w:sz w:val="24"/>
          <w:szCs w:val="24"/>
        </w:rPr>
        <w:t xml:space="preserve"> </w:t>
      </w:r>
      <w:r>
        <w:rPr>
          <w:rFonts w:ascii="Garamond" w:hAnsi="Garamond"/>
          <w:sz w:val="24"/>
          <w:szCs w:val="24"/>
        </w:rPr>
        <w:t xml:space="preserve">a rendelet-tervezet kihirdetésében és a hatályba léptetésében  igazodik a jogelvekhez.  A tárgyi önkormányzati  rendelet az önkormányzat honlapján és a Nemzeti Jogszabály Tárban elérhető, a községi könyvtárban és a hivatalban megtekinthető, a település lakossága a helyi havonta megjelenő lapban, a Csanyi Hírmondóban kap jegyzői tájékoztatást a rendelet hatályba lépéséről. Az </w:t>
      </w:r>
      <w:r>
        <w:rPr>
          <w:rFonts w:ascii="Garamond" w:hAnsi="Garamond"/>
          <w:i/>
          <w:sz w:val="24"/>
          <w:szCs w:val="24"/>
        </w:rPr>
        <w:t>önkormányzati</w:t>
      </w:r>
      <w:r>
        <w:rPr>
          <w:rFonts w:ascii="Garamond" w:hAnsi="Garamond"/>
          <w:sz w:val="24"/>
          <w:szCs w:val="24"/>
        </w:rPr>
        <w:t xml:space="preserve"> </w:t>
      </w:r>
      <w:r>
        <w:rPr>
          <w:rFonts w:ascii="Garamond" w:hAnsi="Garamond"/>
          <w:i/>
          <w:sz w:val="24"/>
          <w:szCs w:val="24"/>
        </w:rPr>
        <w:t>rendelet  hatályon kívül helyező</w:t>
      </w:r>
      <w:r>
        <w:rPr>
          <w:rFonts w:ascii="Garamond" w:hAnsi="Garamond"/>
          <w:sz w:val="24"/>
          <w:szCs w:val="24"/>
        </w:rPr>
        <w:t xml:space="preserve"> </w:t>
      </w:r>
      <w:r>
        <w:rPr>
          <w:rFonts w:ascii="Garamond" w:hAnsi="Garamond"/>
          <w:i/>
          <w:sz w:val="24"/>
          <w:szCs w:val="24"/>
        </w:rPr>
        <w:t>rendelkezése</w:t>
      </w:r>
      <w:r>
        <w:rPr>
          <w:rFonts w:ascii="Garamond" w:hAnsi="Garamond"/>
          <w:sz w:val="24"/>
          <w:szCs w:val="24"/>
        </w:rPr>
        <w:t xml:space="preserve">  a jogszabályszerkesztésről szóló hatályos jogszabály 119. §-ához igazodik akként, </w:t>
      </w:r>
      <w:r>
        <w:rPr>
          <w:rFonts w:ascii="Garamond" w:hAnsi="Garamond"/>
          <w:sz w:val="24"/>
          <w:szCs w:val="24"/>
        </w:rPr>
        <w:lastRenderedPageBreak/>
        <w:t xml:space="preserve">hogy tartalmazza </w:t>
      </w:r>
      <w:r>
        <w:rPr>
          <w:rFonts w:ascii="Garamond" w:hAnsi="Garamond"/>
          <w:i/>
          <w:sz w:val="24"/>
          <w:szCs w:val="24"/>
        </w:rPr>
        <w:t>a tárgykörben hatályban lévő önkormányzati rendelet</w:t>
      </w:r>
      <w:r>
        <w:rPr>
          <w:rFonts w:ascii="Garamond" w:hAnsi="Garamond"/>
          <w:sz w:val="24"/>
          <w:szCs w:val="24"/>
        </w:rPr>
        <w:t xml:space="preserve"> mint hatályon kívül helyezendő jogszabályra való </w:t>
      </w:r>
      <w:r>
        <w:rPr>
          <w:rFonts w:ascii="Garamond" w:hAnsi="Garamond"/>
          <w:i/>
          <w:sz w:val="24"/>
          <w:szCs w:val="24"/>
        </w:rPr>
        <w:t xml:space="preserve">merev hivatkozást, a hatályon kívül helyezés időpontjára való utalás nélkül, </w:t>
      </w:r>
      <w:r>
        <w:rPr>
          <w:rFonts w:ascii="Garamond" w:hAnsi="Garamond"/>
          <w:sz w:val="24"/>
          <w:szCs w:val="24"/>
        </w:rPr>
        <w:t>az IMR rendelet  (3) bekezdésében írt formátumban.</w:t>
      </w:r>
    </w:p>
    <w:p w14:paraId="04F8A0DC" w14:textId="77777777" w:rsidR="00E57A4C" w:rsidRDefault="00E57A4C" w:rsidP="00274481">
      <w:pPr>
        <w:ind w:right="143"/>
        <w:jc w:val="both"/>
        <w:rPr>
          <w:rFonts w:ascii="Garamond" w:hAnsi="Garamond"/>
          <w:sz w:val="24"/>
          <w:szCs w:val="24"/>
        </w:rPr>
      </w:pPr>
      <w:r>
        <w:rPr>
          <w:rFonts w:ascii="Garamond" w:hAnsi="Garamond"/>
          <w:sz w:val="24"/>
          <w:szCs w:val="24"/>
        </w:rPr>
        <w:t xml:space="preserve">A záró rendelkezések között kapott helyet a </w:t>
      </w:r>
      <w:r>
        <w:rPr>
          <w:rFonts w:ascii="Garamond" w:hAnsi="Garamond"/>
          <w:i/>
          <w:sz w:val="24"/>
          <w:szCs w:val="24"/>
        </w:rPr>
        <w:t>rendelet aláírására jogosítottak neve és tisztsége, a záradék szövege, amely a rendelet kihirdetése időpontját az önkormányzat szervezeti és működési szabályzatában meghatározott formátumban tartalmazza.</w:t>
      </w:r>
    </w:p>
    <w:p w14:paraId="513FD18A" w14:textId="77777777" w:rsidR="00E57A4C" w:rsidRDefault="00E57A4C" w:rsidP="00274481">
      <w:pPr>
        <w:ind w:right="143"/>
        <w:jc w:val="center"/>
        <w:rPr>
          <w:rFonts w:ascii="Garamond" w:hAnsi="Garamond"/>
          <w:b/>
          <w:sz w:val="24"/>
          <w:szCs w:val="24"/>
        </w:rPr>
      </w:pPr>
      <w:r>
        <w:rPr>
          <w:rFonts w:ascii="Garamond" w:hAnsi="Garamond"/>
          <w:b/>
          <w:sz w:val="24"/>
          <w:szCs w:val="24"/>
        </w:rPr>
        <w:t>1. melléklet</w:t>
      </w:r>
    </w:p>
    <w:p w14:paraId="18568F20" w14:textId="77777777" w:rsidR="00E57A4C" w:rsidRDefault="00E57A4C" w:rsidP="00274481">
      <w:pPr>
        <w:ind w:right="143"/>
        <w:jc w:val="center"/>
        <w:rPr>
          <w:rFonts w:ascii="Garamond" w:hAnsi="Garamond"/>
          <w:b/>
          <w:sz w:val="24"/>
          <w:szCs w:val="24"/>
        </w:rPr>
      </w:pPr>
    </w:p>
    <w:p w14:paraId="4BBD78FE" w14:textId="77777777" w:rsidR="00E57A4C" w:rsidRDefault="00E57A4C" w:rsidP="00274481">
      <w:pPr>
        <w:ind w:right="143"/>
        <w:jc w:val="both"/>
        <w:rPr>
          <w:rFonts w:ascii="Garamond" w:hAnsi="Garamond"/>
          <w:i/>
          <w:sz w:val="24"/>
          <w:szCs w:val="24"/>
        </w:rPr>
      </w:pPr>
      <w:r>
        <w:rPr>
          <w:rFonts w:ascii="Garamond" w:hAnsi="Garamond"/>
          <w:sz w:val="24"/>
          <w:szCs w:val="24"/>
        </w:rPr>
        <w:t xml:space="preserve">A nemzeti vagyonról szóló törvény 5. § (1) bekezdés a) pontját alkalmazva </w:t>
      </w:r>
      <w:r>
        <w:rPr>
          <w:rFonts w:ascii="Garamond" w:hAnsi="Garamond"/>
          <w:i/>
          <w:sz w:val="24"/>
          <w:szCs w:val="24"/>
        </w:rPr>
        <w:t xml:space="preserve">a forgalomképtelen törzsvagyon </w:t>
      </w:r>
      <w:r>
        <w:rPr>
          <w:rFonts w:ascii="Garamond" w:hAnsi="Garamond"/>
          <w:sz w:val="24"/>
          <w:szCs w:val="24"/>
        </w:rPr>
        <w:t xml:space="preserve">körébe a nemzeti vagyonról szóló törvény által </w:t>
      </w:r>
      <w:r>
        <w:rPr>
          <w:rFonts w:ascii="Garamond" w:hAnsi="Garamond"/>
          <w:i/>
          <w:sz w:val="24"/>
          <w:szCs w:val="24"/>
        </w:rPr>
        <w:t>kizárólag önkormányzati törzsvagyonba tartozó vagyonelemek</w:t>
      </w:r>
      <w:r>
        <w:rPr>
          <w:rFonts w:ascii="Garamond" w:hAnsi="Garamond"/>
          <w:sz w:val="24"/>
          <w:szCs w:val="24"/>
        </w:rPr>
        <w:t xml:space="preserve"> sorát tartalmazza, így többek között </w:t>
      </w:r>
      <w:r>
        <w:rPr>
          <w:rFonts w:ascii="Garamond" w:hAnsi="Garamond"/>
          <w:i/>
          <w:sz w:val="24"/>
          <w:szCs w:val="24"/>
        </w:rPr>
        <w:t xml:space="preserve">a Csanytelek településen lévő  utak, járdák, árkok, csatornák, terek, parkok területei </w:t>
      </w:r>
      <w:r>
        <w:rPr>
          <w:rFonts w:ascii="Garamond" w:hAnsi="Garamond"/>
          <w:sz w:val="24"/>
          <w:szCs w:val="24"/>
        </w:rPr>
        <w:t>jellemzőit foglalja magában táblázati formátumban, igazodva az IRM rendelet előírásaihoz.</w:t>
      </w:r>
      <w:r>
        <w:rPr>
          <w:rFonts w:ascii="Garamond" w:hAnsi="Garamond"/>
          <w:i/>
          <w:sz w:val="24"/>
          <w:szCs w:val="24"/>
        </w:rPr>
        <w:t xml:space="preserve"> </w:t>
      </w:r>
    </w:p>
    <w:p w14:paraId="3ED79538" w14:textId="77777777" w:rsidR="00E57A4C" w:rsidRDefault="00E57A4C" w:rsidP="00274481">
      <w:pPr>
        <w:ind w:right="143"/>
        <w:rPr>
          <w:rFonts w:ascii="Garamond" w:hAnsi="Garamond"/>
          <w:b/>
          <w:sz w:val="24"/>
          <w:szCs w:val="24"/>
        </w:rPr>
      </w:pPr>
    </w:p>
    <w:p w14:paraId="6F84633A" w14:textId="77777777" w:rsidR="00E57A4C" w:rsidRDefault="00E57A4C" w:rsidP="00274481">
      <w:pPr>
        <w:ind w:right="143"/>
        <w:jc w:val="center"/>
        <w:rPr>
          <w:rFonts w:ascii="Garamond" w:hAnsi="Garamond"/>
          <w:b/>
          <w:sz w:val="24"/>
          <w:szCs w:val="24"/>
        </w:rPr>
      </w:pPr>
      <w:r>
        <w:rPr>
          <w:rFonts w:ascii="Garamond" w:hAnsi="Garamond"/>
          <w:b/>
          <w:sz w:val="24"/>
          <w:szCs w:val="24"/>
        </w:rPr>
        <w:t>2. melléklethez</w:t>
      </w:r>
    </w:p>
    <w:p w14:paraId="44DF98C3" w14:textId="77777777" w:rsidR="00E57A4C" w:rsidRDefault="00E57A4C" w:rsidP="00274481">
      <w:pPr>
        <w:ind w:right="143"/>
        <w:jc w:val="both"/>
        <w:rPr>
          <w:rFonts w:ascii="Garamond" w:hAnsi="Garamond"/>
          <w:sz w:val="24"/>
          <w:szCs w:val="24"/>
        </w:rPr>
      </w:pPr>
    </w:p>
    <w:p w14:paraId="50F451DF" w14:textId="77777777" w:rsidR="00E57A4C" w:rsidRDefault="00E57A4C" w:rsidP="00274481">
      <w:pPr>
        <w:ind w:right="143"/>
        <w:jc w:val="both"/>
        <w:rPr>
          <w:rFonts w:ascii="Garamond" w:hAnsi="Garamond"/>
          <w:i/>
          <w:sz w:val="24"/>
          <w:szCs w:val="24"/>
        </w:rPr>
      </w:pPr>
      <w:r>
        <w:rPr>
          <w:rFonts w:ascii="Garamond" w:hAnsi="Garamond"/>
          <w:sz w:val="24"/>
          <w:szCs w:val="24"/>
        </w:rPr>
        <w:t xml:space="preserve">Az önkormányzat </w:t>
      </w:r>
      <w:r>
        <w:rPr>
          <w:rFonts w:ascii="Garamond" w:hAnsi="Garamond"/>
          <w:i/>
          <w:sz w:val="24"/>
          <w:szCs w:val="24"/>
        </w:rPr>
        <w:t xml:space="preserve">törzsvagyonába tartozó korlátozottan forgalomképes vagyonelemek körét  </w:t>
      </w:r>
      <w:r>
        <w:rPr>
          <w:rFonts w:ascii="Garamond" w:hAnsi="Garamond"/>
          <w:sz w:val="24"/>
          <w:szCs w:val="24"/>
        </w:rPr>
        <w:t>foglalja magában, amely táblázatos formátumban átláthatóbb és az IRM rendelet 127. §-ában rögzítetteknek megfelelve (külön bekezdésben) a rendelet melléklete létére, tartalmára, a rendelet-tervezet záró rendelkezései között kapott helyet, amely megfelel az IRM rendelet 128. – 131. §-aiban írt rendelkezéseknek. A</w:t>
      </w:r>
      <w:r>
        <w:rPr>
          <w:rFonts w:ascii="Garamond" w:hAnsi="Garamond"/>
          <w:i/>
          <w:sz w:val="24"/>
          <w:szCs w:val="24"/>
        </w:rPr>
        <w:t xml:space="preserve"> vagyonkataszter naprakészsége </w:t>
      </w:r>
      <w:r>
        <w:rPr>
          <w:rFonts w:ascii="Garamond" w:hAnsi="Garamond"/>
          <w:sz w:val="24"/>
          <w:szCs w:val="24"/>
        </w:rPr>
        <w:t xml:space="preserve"> a rendelet-tervezet pontos megjelenítését teszi lehetővé, összevetést engedve az elmúlt évekkel, melyből látható az önkormányzati tulajdon, a vagyon gyarapodása.</w:t>
      </w:r>
    </w:p>
    <w:p w14:paraId="47F5BA78" w14:textId="77777777" w:rsidR="00E57A4C" w:rsidRDefault="00E57A4C" w:rsidP="00274481">
      <w:pPr>
        <w:ind w:right="143"/>
        <w:jc w:val="both"/>
        <w:rPr>
          <w:rFonts w:ascii="Garamond" w:hAnsi="Garamond"/>
          <w:i/>
          <w:sz w:val="24"/>
          <w:szCs w:val="24"/>
        </w:rPr>
      </w:pPr>
    </w:p>
    <w:p w14:paraId="38FF5AFF" w14:textId="285CBC24" w:rsidR="00E57A4C" w:rsidRDefault="00E57A4C" w:rsidP="00274481">
      <w:pPr>
        <w:ind w:right="143"/>
        <w:jc w:val="both"/>
        <w:rPr>
          <w:rFonts w:ascii="Garamond" w:hAnsi="Garamond"/>
          <w:sz w:val="24"/>
          <w:szCs w:val="24"/>
        </w:rPr>
      </w:pPr>
      <w:r>
        <w:rPr>
          <w:rFonts w:ascii="Garamond" w:hAnsi="Garamond"/>
          <w:sz w:val="24"/>
          <w:szCs w:val="24"/>
        </w:rPr>
        <w:t>C s a n y t e l e k, 20</w:t>
      </w:r>
      <w:r w:rsidR="007E40A7">
        <w:rPr>
          <w:rFonts w:ascii="Garamond" w:hAnsi="Garamond"/>
          <w:sz w:val="24"/>
          <w:szCs w:val="24"/>
        </w:rPr>
        <w:t>22</w:t>
      </w:r>
      <w:r>
        <w:rPr>
          <w:rFonts w:ascii="Garamond" w:hAnsi="Garamond"/>
          <w:sz w:val="24"/>
          <w:szCs w:val="24"/>
        </w:rPr>
        <w:t xml:space="preserve">. </w:t>
      </w:r>
      <w:r w:rsidR="007E40A7">
        <w:rPr>
          <w:rFonts w:ascii="Garamond" w:hAnsi="Garamond"/>
          <w:sz w:val="24"/>
          <w:szCs w:val="24"/>
        </w:rPr>
        <w:t>március 7</w:t>
      </w:r>
      <w:r>
        <w:rPr>
          <w:rFonts w:ascii="Garamond" w:hAnsi="Garamond"/>
          <w:sz w:val="24"/>
          <w:szCs w:val="24"/>
        </w:rPr>
        <w:t>.</w:t>
      </w:r>
    </w:p>
    <w:p w14:paraId="3752B477" w14:textId="77777777" w:rsidR="00E57A4C" w:rsidRDefault="00E57A4C" w:rsidP="00274481">
      <w:pPr>
        <w:ind w:right="143"/>
        <w:jc w:val="both"/>
        <w:rPr>
          <w:rFonts w:ascii="Garamond" w:hAnsi="Garamond"/>
          <w:sz w:val="24"/>
          <w:szCs w:val="24"/>
        </w:rPr>
      </w:pPr>
    </w:p>
    <w:p w14:paraId="7AE20C2C" w14:textId="0C52AB94" w:rsidR="00E57A4C" w:rsidRDefault="00E57A4C" w:rsidP="00274481">
      <w:pPr>
        <w:ind w:right="143"/>
        <w:jc w:val="both"/>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007E40A7">
        <w:rPr>
          <w:rFonts w:ascii="Garamond" w:hAnsi="Garamond"/>
          <w:sz w:val="24"/>
          <w:szCs w:val="24"/>
        </w:rPr>
        <w:tab/>
      </w:r>
      <w:r w:rsidR="007E40A7">
        <w:rPr>
          <w:rFonts w:ascii="Garamond" w:hAnsi="Garamond"/>
          <w:sz w:val="24"/>
          <w:szCs w:val="24"/>
        </w:rPr>
        <w:tab/>
      </w:r>
      <w:r w:rsidR="007E40A7">
        <w:rPr>
          <w:rFonts w:ascii="Garamond" w:hAnsi="Garamond"/>
          <w:sz w:val="24"/>
          <w:szCs w:val="24"/>
        </w:rPr>
        <w:tab/>
        <w:t>………………………………</w:t>
      </w:r>
    </w:p>
    <w:p w14:paraId="4CF9F71C" w14:textId="77777777" w:rsidR="00E57A4C" w:rsidRDefault="00E57A4C" w:rsidP="00274481">
      <w:pPr>
        <w:ind w:right="143"/>
        <w:jc w:val="both"/>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Kató Pálné jegyző</w:t>
      </w:r>
    </w:p>
    <w:p w14:paraId="6619704E" w14:textId="2C89C238" w:rsidR="005406D0" w:rsidRPr="00E57A4C" w:rsidRDefault="00E57A4C" w:rsidP="00274481">
      <w:pPr>
        <w:ind w:right="143"/>
        <w:rPr>
          <w:rFonts w:ascii="Garamond" w:hAnsi="Garamond"/>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p>
    <w:sectPr w:rsidR="005406D0" w:rsidRPr="00E57A4C" w:rsidSect="007872CE">
      <w:pgSz w:w="11906" w:h="16838"/>
      <w:pgMar w:top="1417" w:right="70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onotype Corsiva">
    <w:panose1 w:val="03010101010201010101"/>
    <w:charset w:val="EE"/>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582682"/>
    <w:multiLevelType w:val="hybridMultilevel"/>
    <w:tmpl w:val="DDFE0146"/>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 w15:restartNumberingAfterBreak="0">
    <w:nsid w:val="7EA724B8"/>
    <w:multiLevelType w:val="hybridMultilevel"/>
    <w:tmpl w:val="88FEE604"/>
    <w:lvl w:ilvl="0" w:tplc="040E000F">
      <w:start w:val="5"/>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A4C"/>
    <w:rsid w:val="00012377"/>
    <w:rsid w:val="0009374F"/>
    <w:rsid w:val="00221EF2"/>
    <w:rsid w:val="00274481"/>
    <w:rsid w:val="00392502"/>
    <w:rsid w:val="005406D0"/>
    <w:rsid w:val="00597357"/>
    <w:rsid w:val="0064374B"/>
    <w:rsid w:val="007872CE"/>
    <w:rsid w:val="007E40A7"/>
    <w:rsid w:val="00885618"/>
    <w:rsid w:val="00A407D5"/>
    <w:rsid w:val="00BA018D"/>
    <w:rsid w:val="00BD1CFC"/>
    <w:rsid w:val="00C04DDE"/>
    <w:rsid w:val="00C27965"/>
    <w:rsid w:val="00D42A97"/>
    <w:rsid w:val="00DF4E71"/>
    <w:rsid w:val="00E57A4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EC33E"/>
  <w15:chartTrackingRefBased/>
  <w15:docId w15:val="{CF3DEB69-8AAC-4143-BA9F-39C979FE1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57A4C"/>
    <w:pPr>
      <w:spacing w:after="0" w:line="240" w:lineRule="auto"/>
    </w:pPr>
    <w:rPr>
      <w:rFonts w:ascii="Arial Narrow" w:eastAsia="Times New Roman" w:hAnsi="Arial Narrow" w:cs="Times New Roman"/>
      <w:sz w:val="16"/>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rsid w:val="00E57A4C"/>
    <w:pPr>
      <w:jc w:val="center"/>
    </w:pPr>
    <w:rPr>
      <w:rFonts w:ascii="Times New Roman" w:hAnsi="Times New Roman"/>
      <w:i/>
      <w:sz w:val="20"/>
    </w:rPr>
  </w:style>
  <w:style w:type="character" w:customStyle="1" w:styleId="CmChar">
    <w:name w:val="Cím Char"/>
    <w:basedOn w:val="Bekezdsalapbettpusa"/>
    <w:link w:val="Cm"/>
    <w:rsid w:val="00E57A4C"/>
    <w:rPr>
      <w:rFonts w:ascii="Times New Roman" w:eastAsia="Times New Roman" w:hAnsi="Times New Roman" w:cs="Times New Roman"/>
      <w:i/>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163089">
      <w:bodyDiv w:val="1"/>
      <w:marLeft w:val="0"/>
      <w:marRight w:val="0"/>
      <w:marTop w:val="0"/>
      <w:marBottom w:val="0"/>
      <w:divBdr>
        <w:top w:val="none" w:sz="0" w:space="0" w:color="auto"/>
        <w:left w:val="none" w:sz="0" w:space="0" w:color="auto"/>
        <w:bottom w:val="none" w:sz="0" w:space="0" w:color="auto"/>
        <w:right w:val="none" w:sz="0" w:space="0" w:color="auto"/>
      </w:divBdr>
    </w:div>
    <w:div w:id="119892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0.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1804</Words>
  <Characters>12454</Characters>
  <Application>Microsoft Office Word</Application>
  <DocSecurity>0</DocSecurity>
  <Lines>103</Lines>
  <Paragraphs>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2022-03-08T08:44:00Z</dcterms:created>
  <dcterms:modified xsi:type="dcterms:W3CDTF">2022-03-30T09:51:00Z</dcterms:modified>
</cp:coreProperties>
</file>