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0C617" w14:textId="77777777" w:rsidR="00FA16C9" w:rsidRDefault="00FA16C9" w:rsidP="00FA16C9">
      <w:pPr>
        <w:ind w:right="284"/>
        <w:rPr>
          <w:rFonts w:ascii="Garamond" w:hAnsi="Garamond" w:cs="Courier New"/>
          <w:sz w:val="24"/>
          <w:szCs w:val="24"/>
        </w:rPr>
      </w:pPr>
    </w:p>
    <w:p w14:paraId="0FEC45BD" w14:textId="0846BFC9" w:rsidR="00FA16C9" w:rsidRDefault="00FA16C9" w:rsidP="00FA16C9">
      <w:pPr>
        <w:pStyle w:val="Cmsor1"/>
        <w:ind w:right="284"/>
        <w:rPr>
          <w:rFonts w:ascii="Monotype Corsiva" w:hAnsi="Monotype Corsiva"/>
          <w:bCs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425D1" wp14:editId="007449FB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EFEC9" w14:textId="63BF5E1F" w:rsidR="00FA16C9" w:rsidRDefault="00FA16C9" w:rsidP="00FA16C9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59A1372F" wp14:editId="0F1CED11">
                                  <wp:extent cx="533400" cy="714375"/>
                                  <wp:effectExtent l="0" t="0" r="0" b="9525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425D1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" stroked="f">
                <v:textbox>
                  <w:txbxContent>
                    <w:p w14:paraId="18CEFEC9" w14:textId="63BF5E1F" w:rsidR="00FA16C9" w:rsidRDefault="00FA16C9" w:rsidP="00FA16C9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59A1372F" wp14:editId="0F1CED11">
                            <wp:extent cx="533400" cy="714375"/>
                            <wp:effectExtent l="0" t="0" r="0" b="9525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81BB2A4" wp14:editId="163177B9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57EB6" w14:textId="4C3DC200" w:rsidR="00FA16C9" w:rsidRDefault="00FA16C9" w:rsidP="00FA16C9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267A888E" wp14:editId="6DA774EE">
                                  <wp:extent cx="447675" cy="762000"/>
                                  <wp:effectExtent l="0" t="0" r="9525" b="0"/>
                                  <wp:docPr id="12" name="Kép 12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BB2A4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aNAgIAAPg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" o:allowincell="f" stroked="f">
                <v:textbox>
                  <w:txbxContent>
                    <w:p w14:paraId="45D57EB6" w14:textId="4C3DC200" w:rsidR="00FA16C9" w:rsidRDefault="00FA16C9" w:rsidP="00FA16C9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267A888E" wp14:editId="6DA774EE">
                            <wp:extent cx="447675" cy="762000"/>
                            <wp:effectExtent l="0" t="0" r="9525" b="0"/>
                            <wp:docPr id="12" name="Kép 12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763C0DEB" w14:textId="77777777" w:rsidR="00FA16C9" w:rsidRDefault="00FA16C9" w:rsidP="00FA16C9">
      <w:pPr>
        <w:ind w:right="284"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6647 Csanytelek, Volentér János tér 2.  </w:t>
      </w:r>
    </w:p>
    <w:p w14:paraId="78EEDB4A" w14:textId="77777777" w:rsidR="00FA16C9" w:rsidRDefault="00FA16C9" w:rsidP="00FA16C9">
      <w:pPr>
        <w:pStyle w:val="Cmsor2"/>
        <w:pBdr>
          <w:bottom w:val="single" w:sz="4" w:space="1" w:color="auto"/>
        </w:pBdr>
        <w:ind w:right="284"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>
        <w:rPr>
          <w:rFonts w:ascii="Monotype Corsiva" w:hAnsi="Monotype Corsiva"/>
          <w:b w:val="0"/>
          <w:i w:val="0"/>
        </w:rPr>
        <w:sym w:font="Webdings" w:char="F0C9"/>
      </w:r>
      <w:r>
        <w:rPr>
          <w:rFonts w:ascii="Monotype Corsiva" w:hAnsi="Monotype Corsiva"/>
          <w:b w:val="0"/>
          <w:i w:val="0"/>
        </w:rPr>
        <w:t>: 63/578-512, 06/20/3142365</w:t>
      </w:r>
      <w:r>
        <w:rPr>
          <w:rFonts w:ascii="Monotype Corsiva" w:hAnsi="Monotype Corsiva"/>
          <w:b w:val="0"/>
          <w:i w:val="0"/>
        </w:rPr>
        <w:tab/>
        <w:t xml:space="preserve">      Email: jegyzo@csanytelek.hu</w:t>
      </w:r>
    </w:p>
    <w:p w14:paraId="379E5E4A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CS/704-7/2022.</w:t>
      </w:r>
    </w:p>
    <w:p w14:paraId="393888E1" w14:textId="77777777" w:rsidR="00FA16C9" w:rsidRDefault="00FA16C9" w:rsidP="00FA16C9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48E7F921" w14:textId="77777777" w:rsidR="00FA16C9" w:rsidRDefault="00FA16C9" w:rsidP="00FA16C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229E9E8F" w14:textId="77777777" w:rsidR="006A03B4" w:rsidRDefault="00FA16C9" w:rsidP="00FA16C9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igénybevételéről, valamint a fizetendő intézményi térítési díjakról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>3/2017. (II. 28.) önkormányzati rendelet módosításáról szóló</w:t>
      </w:r>
    </w:p>
    <w:p w14:paraId="064D3538" w14:textId="5BA34BC5" w:rsidR="00FA16C9" w:rsidRDefault="00FA16C9" w:rsidP="00FA16C9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 ../2022. (X..  .. .) önkormányzati rendelet-tervezet előterjesztéséhez</w:t>
      </w:r>
    </w:p>
    <w:p w14:paraId="5AFF4ABB" w14:textId="77777777" w:rsidR="00FA16C9" w:rsidRDefault="00FA16C9" w:rsidP="00FA16C9">
      <w:pPr>
        <w:ind w:right="284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2FDC9050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§ (8) bekezdése felhatalmazó rendelkezését alkalmazva) székhely településként Csanytelek Község Önkormányzata Képviselő-testülete vált jogosulttá 2013. július 01. napjától a tárgyi önkormányzati rendelet alkotására. </w:t>
      </w:r>
    </w:p>
    <w:p w14:paraId="3B992195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  <w:u w:val="single"/>
        </w:rPr>
      </w:pPr>
      <w:bookmarkStart w:id="0" w:name="_Hlk103329033"/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  <w:u w:val="single"/>
        </w:rPr>
        <w:t>nem kell közzétenni</w:t>
      </w:r>
      <w:r>
        <w:rPr>
          <w:rFonts w:ascii="Garamond" w:hAnsi="Garamond"/>
          <w:i/>
          <w:iCs/>
          <w:sz w:val="22"/>
          <w:szCs w:val="22"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Erre tekintettel </w:t>
      </w:r>
      <w:r>
        <w:rPr>
          <w:rFonts w:ascii="Garamond" w:hAnsi="Garamond"/>
          <w:sz w:val="22"/>
          <w:szCs w:val="22"/>
          <w:u w:val="single"/>
        </w:rPr>
        <w:t>a tárgyi indokolás közzétételét nem tartom indokoltnak.</w:t>
      </w:r>
    </w:p>
    <w:p w14:paraId="7CAA26C5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  <w:u w:val="single"/>
        </w:rPr>
      </w:pPr>
    </w:p>
    <w:p w14:paraId="269E4502" w14:textId="77777777" w:rsidR="00FA16C9" w:rsidRDefault="00FA16C9" w:rsidP="00FA16C9">
      <w:pPr>
        <w:ind w:right="284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Emlékeztetem Önöket  arra, hogy a Képviselő-testület az Alsó- Tisza-menti Önkormányzati Társulás Társulási Tanácsa kezdeményezésére 2/2020. (II. 28.) szám alatt kiadott önkormányzati rendeletével módosította a tárgyban hatályos rendeletét, amely 2020. április 1. napján lépett hatályba. A koronavírus-világjárvány nemzetgazdaságot érintő hatásának enyhítése érdekében szükséges gazdasági intézkedésekről szóló 603/2020. (XII. 18.) Korm. rendeletében 2021. december 31. napjáig megtiltotta a (szociális intézményre is vonatkoztatva) </w:t>
      </w:r>
      <w:r>
        <w:rPr>
          <w:rFonts w:ascii="Garamond" w:hAnsi="Garamond"/>
          <w:i/>
          <w:iCs/>
          <w:sz w:val="22"/>
          <w:szCs w:val="22"/>
        </w:rPr>
        <w:t>az intézményi térítési díjak összegének emelését</w:t>
      </w:r>
      <w:r>
        <w:rPr>
          <w:rFonts w:ascii="Garamond" w:hAnsi="Garamond"/>
          <w:sz w:val="22"/>
          <w:szCs w:val="22"/>
        </w:rPr>
        <w:t xml:space="preserve">, így annak összege 2020. évben megállapított díjtételen áll jelenleg. Időközben megjelent a veszélyhelyzettel összefüggő átmeneti szabályokról szóló 2021. évi XCIX. törvény, melynek 147. §-a értelmében a fent írt Kormányrendeletben megszabott határidőként 2020. XII. 19. – 2022. június 30. napja közötti időszakot jelölt meg, ami alatt </w:t>
      </w:r>
      <w:r>
        <w:rPr>
          <w:rFonts w:ascii="Garamond" w:hAnsi="Garamond"/>
          <w:i/>
          <w:iCs/>
          <w:sz w:val="22"/>
          <w:szCs w:val="22"/>
        </w:rPr>
        <w:t>nem lehet díjtétel emelést végrehajtani.</w:t>
      </w:r>
    </w:p>
    <w:p w14:paraId="08CE06D6" w14:textId="513DD83C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Idén szeptember 1. napjával léptette hatályba önkormányzati rendeletét a helyi jogalkotó, amelynek jogalapja, hogy a díjtétel emelésének tilalma 2021. évben és a 2022. I. negyedévében is nagy mértékű bevétel kiesést okozott a szociális intézményben folyó étkeztetési szolgáltatás nyújtása során az önkormányzat 100 %-os tulajdonában lévő KÉBSZ Kft számára. A helyzetet tovább rontotta az infláció, az élelmiszerárak folyamatos emelkedése, a közüzemi díjak növekedése, a munkabérek változása, úgy a minimálbér, mint a garantált bérminimum esetében. A felsorolt tételek közül csak a bérek különbözetének kompenzálására sikerült anyagi forrás kiegészítéshez jutnia a szolgáltatást végző Kft-nek, ami csökkentette a bevétel kiesés mértékét, de nem oldotta meg a többi problémát. </w:t>
      </w:r>
    </w:p>
    <w:p w14:paraId="62E8E248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Remény Szociális Alapszolgáltató Központ idei évi költségvetését csak azért nem kell nagyobb összegű támogatással kiegészíteni a székhely önkormányzat 2022. évi költségvetéséből, mert 2021. évben a központi költségvetésből megemelt feladat-finanszírozással és kiegészítő támogatás nyújtásával (viszonylag éven belül késői időponttal) működési kiadások fedezeteként felhasznált összegen túl, pénzmaradványa keletkezett. Ezt a pénzmaradványt az intézmény az idei évi költségvetéséből visszapótolta az előző évi önkormányzati támogatás többlet finanszírozása kiegyenlítése jogcímén. Az intézményben folyó szakmai munkát nehezítő covidjárvány okozta költségek, a többletmunka anyagi ráfordítása olyan költségvetési összegeket emésztett fel az intézményben, amelyet nem ellensúlyoz a szociális intézményben foglalkoztatott  közalkalmazottak számára  bérkompenzáció címén nyújtott központi támogatás, ezért </w:t>
      </w:r>
      <w:r>
        <w:rPr>
          <w:rFonts w:ascii="Garamond" w:hAnsi="Garamond"/>
          <w:i/>
          <w:iCs/>
          <w:sz w:val="22"/>
          <w:szCs w:val="22"/>
        </w:rPr>
        <w:t xml:space="preserve">a közel másfélévi változatlan intézményi szolgáltatási díjak – takarékos gazdálkodás melletti -  </w:t>
      </w:r>
      <w:r>
        <w:rPr>
          <w:rFonts w:ascii="Garamond" w:hAnsi="Garamond"/>
          <w:i/>
          <w:iCs/>
          <w:sz w:val="22"/>
          <w:szCs w:val="22"/>
          <w:u w:val="single"/>
        </w:rPr>
        <w:t xml:space="preserve">emelése </w:t>
      </w:r>
      <w:r>
        <w:rPr>
          <w:rFonts w:ascii="Garamond" w:hAnsi="Garamond"/>
          <w:i/>
          <w:iCs/>
          <w:sz w:val="22"/>
          <w:szCs w:val="22"/>
        </w:rPr>
        <w:t xml:space="preserve">elkerülhetetlen.  </w:t>
      </w:r>
      <w:r>
        <w:rPr>
          <w:rFonts w:ascii="Garamond" w:hAnsi="Garamond"/>
          <w:sz w:val="22"/>
          <w:szCs w:val="22"/>
        </w:rPr>
        <w:t xml:space="preserve">Ezt a tényt az intézmény vezetője által benyújtott, a szociális intézmény önköltségszámítására 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alapozott adatok előző évek díjtételeinek összevetése támasztja alá. Nem hanyagolható el az ellátottak körében a megemelkedett ellátásuk összegének terhelhetősége, amely lehetővé teszi az intézményi térítési díj 2022. második félévétől való megemelését. </w:t>
      </w:r>
    </w:p>
    <w:p w14:paraId="1B3DDA3F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Ettől az időponttól  december 31. napjáig költségvetési kiegészítő támogatás jogcímén átadott pénzügyi támogatással az étkeztetés szolgáltatását nyújtó vállalkozás vesztesége orvosolható, ezért az idei évben már nem kerül sor díjtétel emelésére.</w:t>
      </w:r>
    </w:p>
    <w:p w14:paraId="2EEA608E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Ugyancsak megmarad a szeptember 1. napján hatályba lépett díj összegénél a Tömörkényi székhelyű Gondozási Központ Rózsafűzér Szociális Otthon az által nyújtott szolgáltatásuk után, tehát ott sem történik díjemelés. </w:t>
      </w:r>
    </w:p>
    <w:p w14:paraId="1F6B2F12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</w:p>
    <w:p w14:paraId="6DF985AD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Esély Szociális Alapellátó Központ vezetője által kezdeményezett javaslatot támogatta a fenntartó, ezért tett javaslatot a díjtétel december 1. napjával való emelésére.</w:t>
      </w:r>
    </w:p>
    <w:p w14:paraId="188A2A46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</w:p>
    <w:p w14:paraId="07846C9D" w14:textId="0C97910D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Szt. 115. § (1) bekezdése akként rendelkezik, hogy az intézményi térítési díj összegét tárgyév április 1. napjáig van mód megállapítani, melynek  </w:t>
      </w:r>
      <w:r>
        <w:rPr>
          <w:rFonts w:ascii="Garamond" w:hAnsi="Garamond"/>
          <w:sz w:val="22"/>
          <w:szCs w:val="22"/>
          <w:u w:val="single"/>
        </w:rPr>
        <w:t xml:space="preserve">összege az adott évben </w:t>
      </w:r>
      <w:r w:rsidR="00363FC0">
        <w:rPr>
          <w:rFonts w:ascii="Garamond" w:hAnsi="Garamond"/>
          <w:sz w:val="22"/>
          <w:szCs w:val="22"/>
          <w:u w:val="single"/>
        </w:rPr>
        <w:t>egy</w:t>
      </w:r>
      <w:r>
        <w:rPr>
          <w:rFonts w:ascii="Garamond" w:hAnsi="Garamond"/>
          <w:sz w:val="22"/>
          <w:szCs w:val="22"/>
          <w:u w:val="single"/>
        </w:rPr>
        <w:t xml:space="preserve"> ízben módosítható.</w:t>
      </w:r>
      <w:r>
        <w:rPr>
          <w:rFonts w:ascii="Garamond" w:hAnsi="Garamond"/>
          <w:sz w:val="22"/>
          <w:szCs w:val="22"/>
        </w:rPr>
        <w:t xml:space="preserve"> A tárgyban hatályos önkormányzati rendelet mellékleteinek módosításával, a meglévő mellékletek cseréjével megoldható jogsértés nélkül a díjtétel emelése 2022. december 1. napjával. </w:t>
      </w:r>
    </w:p>
    <w:p w14:paraId="7E478AD0" w14:textId="77777777" w:rsidR="00FA16C9" w:rsidRDefault="00FA16C9" w:rsidP="00FA16C9">
      <w:pPr>
        <w:ind w:right="284"/>
        <w:jc w:val="both"/>
        <w:rPr>
          <w:rFonts w:ascii="Garamond" w:hAnsi="Garamond"/>
          <w:i/>
          <w:sz w:val="22"/>
          <w:szCs w:val="22"/>
          <w:u w:val="single"/>
        </w:rPr>
      </w:pPr>
    </w:p>
    <w:bookmarkEnd w:id="0"/>
    <w:p w14:paraId="19A54E38" w14:textId="77777777" w:rsidR="00FA16C9" w:rsidRDefault="00FA16C9" w:rsidP="00FA16C9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75B6692C" w14:textId="77777777" w:rsidR="00FA16C9" w:rsidRDefault="00FA16C9" w:rsidP="00FA16C9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14:paraId="71EDAAFA" w14:textId="77777777" w:rsidR="00FA16C9" w:rsidRDefault="00FA16C9" w:rsidP="00FA16C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45C52B89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>(az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Alaptörvény 32. cikke (1) bekezdése a) pontja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a szociális igazgatásról és szociális ellátásokról szóló 1993. évi III. törvény 132. § (4) bekezdés d) pontja, a 92. §-a)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(Mötv. 13. § (1) bekezdés 8a. pontja, az Szt. 62. § (2) bekezdése,  92. § (1) bekezdés b) pontja, (2) bekezdés f) pontja a 115. § (1) bekezdése, a jogalkotásról szóló 2010. évi CXXX. törvény 5. § (5) bekezdése szerinti feladatkörében eljárva, Csongrád Városi Önkormányzat Képviselő-testülete,  Felgyő Községi Önkormányzata Képviselő-testülete, Tömörkény Községi Önkormányzat Képviselő-testülete </w:t>
      </w:r>
      <w:r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 § (4) bekezdés b) pontja és 24. § (2) bekezdés e) pontja szerint feljogosított </w:t>
      </w:r>
      <w:r>
        <w:rPr>
          <w:rFonts w:ascii="Garamond" w:hAnsi="Garamond"/>
          <w:i/>
          <w:sz w:val="22"/>
          <w:szCs w:val="22"/>
        </w:rPr>
        <w:t>véleményének kikérését,</w:t>
      </w:r>
      <w:r>
        <w:rPr>
          <w:rFonts w:ascii="Garamond" w:hAnsi="Garamond"/>
          <w:sz w:val="22"/>
          <w:szCs w:val="22"/>
        </w:rPr>
        <w:t xml:space="preserve"> foglalja magába.</w:t>
      </w:r>
    </w:p>
    <w:p w14:paraId="38240435" w14:textId="77777777" w:rsidR="00FA16C9" w:rsidRDefault="00FA16C9" w:rsidP="00FA16C9">
      <w:pPr>
        <w:pStyle w:val="Listaszerbekezds"/>
        <w:ind w:left="0" w:right="284"/>
        <w:jc w:val="center"/>
        <w:rPr>
          <w:rFonts w:ascii="Garamond" w:hAnsi="Garamond"/>
          <w:b/>
          <w:bCs/>
          <w:sz w:val="22"/>
          <w:szCs w:val="22"/>
        </w:rPr>
      </w:pPr>
    </w:p>
    <w:p w14:paraId="58C22C23" w14:textId="77777777" w:rsidR="00FA16C9" w:rsidRDefault="00FA16C9" w:rsidP="00FA16C9">
      <w:pPr>
        <w:pStyle w:val="Listaszerbekezds"/>
        <w:ind w:left="0" w:right="284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1. §</w:t>
      </w:r>
    </w:p>
    <w:p w14:paraId="2C240E1D" w14:textId="77777777" w:rsidR="00FA16C9" w:rsidRDefault="00FA16C9" w:rsidP="00FA16C9">
      <w:pPr>
        <w:pStyle w:val="Listaszerbekezds"/>
        <w:ind w:left="0" w:right="284"/>
        <w:jc w:val="center"/>
        <w:rPr>
          <w:rFonts w:ascii="Garamond" w:hAnsi="Garamond"/>
          <w:b/>
          <w:bCs/>
          <w:sz w:val="22"/>
          <w:szCs w:val="22"/>
        </w:rPr>
      </w:pPr>
    </w:p>
    <w:p w14:paraId="7E3E2860" w14:textId="7387DC29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alaprendelet 3. valamint a  8. melléklete helyébe a tárgyi önkormányzati rendelet 1. - </w:t>
      </w:r>
      <w:r w:rsidR="00AB39BB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. melléklete lép, amely a 2022. december 1. napjától a szociális intézményben érvényes intézményi térítési díjak összegét foglalja magába.</w:t>
      </w:r>
    </w:p>
    <w:p w14:paraId="3E160183" w14:textId="77777777" w:rsidR="004A38AF" w:rsidRDefault="004A38AF" w:rsidP="00FA16C9">
      <w:pPr>
        <w:ind w:right="284"/>
        <w:jc w:val="both"/>
        <w:rPr>
          <w:rFonts w:ascii="Garamond" w:hAnsi="Garamond"/>
          <w:sz w:val="22"/>
          <w:szCs w:val="22"/>
        </w:rPr>
      </w:pPr>
    </w:p>
    <w:p w14:paraId="6057A102" w14:textId="77777777" w:rsidR="00FA16C9" w:rsidRDefault="00FA16C9" w:rsidP="00FA16C9">
      <w:pPr>
        <w:pStyle w:val="Listaszerbekezds"/>
        <w:ind w:left="0"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1. melléklet</w:t>
      </w:r>
    </w:p>
    <w:p w14:paraId="1CC8BEC4" w14:textId="77777777" w:rsidR="00FA16C9" w:rsidRDefault="00FA16C9" w:rsidP="00FA16C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5C4B3467" w14:textId="77777777" w:rsidR="00FA16C9" w:rsidRDefault="00FA16C9" w:rsidP="00FA16C9">
      <w:pPr>
        <w:ind w:right="284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 xml:space="preserve">intézményi térítési díj napi nettó összegét tartalmazza, </w:t>
      </w:r>
      <w:r>
        <w:rPr>
          <w:rFonts w:ascii="Garamond" w:hAnsi="Garamond"/>
          <w:iCs/>
          <w:sz w:val="22"/>
          <w:szCs w:val="22"/>
        </w:rPr>
        <w:t>amely az alaprendelet 3. melléklete.</w:t>
      </w:r>
    </w:p>
    <w:p w14:paraId="4C262D08" w14:textId="77777777" w:rsidR="00FA16C9" w:rsidRDefault="00FA16C9" w:rsidP="00FA16C9">
      <w:pPr>
        <w:ind w:right="284"/>
        <w:rPr>
          <w:rFonts w:ascii="Garamond" w:hAnsi="Garamond"/>
          <w:b/>
          <w:sz w:val="22"/>
          <w:szCs w:val="22"/>
        </w:rPr>
      </w:pPr>
    </w:p>
    <w:p w14:paraId="6E265E2B" w14:textId="7B53A5BE" w:rsidR="00FA16C9" w:rsidRDefault="00FA16C9" w:rsidP="00AB39BB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melléklet</w:t>
      </w:r>
    </w:p>
    <w:p w14:paraId="50F78AA0" w14:textId="77777777" w:rsidR="00FA16C9" w:rsidRDefault="00FA16C9" w:rsidP="00FA16C9">
      <w:pPr>
        <w:ind w:right="284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438E0626" w14:textId="77777777" w:rsidR="00FA16C9" w:rsidRDefault="00FA16C9" w:rsidP="00FA16C9">
      <w:pPr>
        <w:ind w:right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b/>
          <w:sz w:val="22"/>
          <w:szCs w:val="22"/>
        </w:rPr>
        <w:t>Esély Szociális Alapellátási Központban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a szociálisan nem rászorult személyek által igénybe-vett szolgáltatások</w:t>
      </w:r>
      <w:r>
        <w:rPr>
          <w:rFonts w:ascii="Garamond" w:hAnsi="Garamond"/>
          <w:sz w:val="22"/>
          <w:szCs w:val="22"/>
        </w:rPr>
        <w:t xml:space="preserve"> után fizetendő intézményi térítési díjának általános forgalmi adó nélküli összegét foglalja magában. Ez az alaprendelet 8. melléklete.</w:t>
      </w:r>
    </w:p>
    <w:p w14:paraId="3A8EBA78" w14:textId="77777777" w:rsidR="00FA16C9" w:rsidRDefault="00FA16C9" w:rsidP="00FA16C9">
      <w:pPr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§</w:t>
      </w:r>
    </w:p>
    <w:p w14:paraId="10945F32" w14:textId="77777777" w:rsidR="00FA16C9" w:rsidRDefault="00FA16C9" w:rsidP="00FA16C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2714AD39" w14:textId="77777777" w:rsidR="00FA16C9" w:rsidRDefault="00FA16C9" w:rsidP="00FA16C9">
      <w:pPr>
        <w:ind w:right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az IRM rendelet 78. §-ában szabályozott módon  </w:t>
      </w:r>
      <w:r>
        <w:rPr>
          <w:rFonts w:ascii="Garamond" w:hAnsi="Garamond"/>
          <w:i/>
          <w:sz w:val="22"/>
          <w:szCs w:val="22"/>
        </w:rPr>
        <w:t xml:space="preserve">záró rendelkezésként  </w:t>
      </w:r>
      <w:r>
        <w:rPr>
          <w:rFonts w:ascii="Garamond" w:hAnsi="Garamond"/>
          <w:sz w:val="22"/>
          <w:szCs w:val="22"/>
        </w:rPr>
        <w:t xml:space="preserve">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 xml:space="preserve">2022.  december 1. napja, </w:t>
      </w:r>
      <w:r>
        <w:rPr>
          <w:rFonts w:ascii="Garamond" w:hAnsi="Garamond"/>
          <w:sz w:val="22"/>
          <w:szCs w:val="22"/>
        </w:rPr>
        <w:t xml:space="preserve"> amely kellő időt hagy az érintettek számára a változásra való felkészülésre.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megtekinthető, a település lakossága a havonta megjelenő helyi lapban, a Csanyi Hírmondóban kap jegyzői tájékoztatást a rendelet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szabályzatában meghatározott formátumban tartalmazza.</w:t>
      </w:r>
    </w:p>
    <w:p w14:paraId="5F46360D" w14:textId="77777777" w:rsidR="00FA16C9" w:rsidRDefault="00FA16C9" w:rsidP="00FA16C9">
      <w:pPr>
        <w:ind w:right="284"/>
        <w:jc w:val="both"/>
        <w:rPr>
          <w:rFonts w:ascii="Garamond" w:hAnsi="Garamond"/>
          <w:b/>
          <w:sz w:val="22"/>
          <w:szCs w:val="22"/>
        </w:rPr>
      </w:pPr>
    </w:p>
    <w:p w14:paraId="23948277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2022. október  14.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135DDEBC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13367B10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C1BC119" w14:textId="77777777" w:rsidR="00FA16C9" w:rsidRDefault="00FA16C9" w:rsidP="00FA16C9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………………………………..</w:t>
      </w:r>
    </w:p>
    <w:p w14:paraId="5409D49A" w14:textId="48C8C01D" w:rsidR="005406D0" w:rsidRDefault="00FA16C9" w:rsidP="00EA7CBE">
      <w:pPr>
        <w:ind w:right="284"/>
        <w:jc w:val="both"/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sectPr w:rsidR="005406D0" w:rsidSect="00FA16C9">
      <w:pgSz w:w="11906" w:h="16838"/>
      <w:pgMar w:top="426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6C9"/>
    <w:rsid w:val="00207CB5"/>
    <w:rsid w:val="00363FC0"/>
    <w:rsid w:val="004A38AF"/>
    <w:rsid w:val="005406D0"/>
    <w:rsid w:val="006A03B4"/>
    <w:rsid w:val="007872CE"/>
    <w:rsid w:val="00AB39BB"/>
    <w:rsid w:val="00EA7CBE"/>
    <w:rsid w:val="00FA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B7BE"/>
  <w15:chartTrackingRefBased/>
  <w15:docId w15:val="{7C38F57B-03B4-405E-AA83-71EE11B7F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A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A16C9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A16C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A16C9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A16C9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FA1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6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1092</Words>
  <Characters>7542</Characters>
  <Application>Microsoft Office Word</Application>
  <DocSecurity>0</DocSecurity>
  <Lines>62</Lines>
  <Paragraphs>17</Paragraphs>
  <ScaleCrop>false</ScaleCrop>
  <Company/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2022-10-17T09:50:00Z</dcterms:created>
  <dcterms:modified xsi:type="dcterms:W3CDTF">2022-10-19T09:53:00Z</dcterms:modified>
</cp:coreProperties>
</file>