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7D22" w14:textId="16DEAC4F" w:rsidR="005406D0" w:rsidRDefault="00256C94">
      <w:pPr>
        <w:rPr>
          <w:rFonts w:ascii="Garamond" w:hAnsi="Garamond"/>
        </w:rPr>
      </w:pPr>
      <w:r>
        <w:rPr>
          <w:rFonts w:ascii="Garamond" w:hAnsi="Garamond"/>
        </w:rPr>
        <w:t>+</w:t>
      </w:r>
    </w:p>
    <w:p w14:paraId="0F0B37C1" w14:textId="77777777" w:rsidR="00816A2A" w:rsidRDefault="00816A2A">
      <w:pPr>
        <w:rPr>
          <w:rFonts w:ascii="Garamond" w:hAnsi="Garamond"/>
        </w:rPr>
      </w:pPr>
    </w:p>
    <w:p w14:paraId="3C6695A5" w14:textId="77777777" w:rsidR="00816A2A" w:rsidRDefault="00816A2A">
      <w:pPr>
        <w:rPr>
          <w:rFonts w:ascii="Garamond" w:hAnsi="Garamond"/>
        </w:rPr>
      </w:pPr>
    </w:p>
    <w:p w14:paraId="4687AD10" w14:textId="77777777" w:rsidR="00816A2A" w:rsidRDefault="00816A2A">
      <w:pPr>
        <w:rPr>
          <w:rFonts w:ascii="Garamond" w:hAnsi="Garamond"/>
        </w:rPr>
      </w:pPr>
    </w:p>
    <w:p w14:paraId="5E071BA6" w14:textId="77777777" w:rsidR="00816A2A" w:rsidRDefault="00816A2A">
      <w:pPr>
        <w:rPr>
          <w:rFonts w:ascii="Garamond" w:hAnsi="Garamond"/>
        </w:rPr>
      </w:pPr>
    </w:p>
    <w:p w14:paraId="51BC8B2B" w14:textId="77777777" w:rsidR="008B139D" w:rsidRDefault="008B139D">
      <w:pPr>
        <w:rPr>
          <w:rFonts w:ascii="Garamond" w:hAnsi="Garamond"/>
        </w:rPr>
      </w:pPr>
    </w:p>
    <w:p w14:paraId="4933BE9F" w14:textId="77777777"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14:paraId="6124B6F9" w14:textId="77777777"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588C46CC" w14:textId="77777777"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1884DFDF" w14:textId="77777777"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14:paraId="3C8D26BC" w14:textId="77777777" w:rsidR="00816A2A" w:rsidRDefault="00816A2A">
      <w:pPr>
        <w:rPr>
          <w:rFonts w:ascii="Garamond" w:hAnsi="Garamond"/>
        </w:rPr>
      </w:pPr>
    </w:p>
    <w:p w14:paraId="0E13C108" w14:textId="77777777" w:rsidR="00816A2A" w:rsidRPr="00816A2A" w:rsidRDefault="00816A2A">
      <w:pPr>
        <w:rPr>
          <w:rFonts w:ascii="Garamond" w:hAnsi="Garamond"/>
          <w:sz w:val="28"/>
          <w:szCs w:val="28"/>
        </w:rPr>
      </w:pPr>
    </w:p>
    <w:p w14:paraId="26E1155E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14:paraId="23FD793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14:paraId="4E20D494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14:paraId="5C880D2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14:paraId="6A6E6843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28A2C847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07EA21E4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C22CFFE" w14:textId="18746122" w:rsidR="00816A2A" w:rsidRDefault="000814C6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8CA768" wp14:editId="647C87D8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8038F" w14:textId="77777777" w:rsidR="0094710A" w:rsidRDefault="0094710A" w:rsidP="0094710A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BAFCA1F" wp14:editId="41E9B677">
                                  <wp:extent cx="1266825" cy="1676400"/>
                                  <wp:effectExtent l="1905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CA7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" strokecolor="white">
                <v:textbox>
                  <w:txbxContent>
                    <w:p w14:paraId="2F08038F" w14:textId="77777777" w:rsidR="0094710A" w:rsidRDefault="0094710A" w:rsidP="0094710A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1BAFCA1F" wp14:editId="41E9B677">
                            <wp:extent cx="1266825" cy="1676400"/>
                            <wp:effectExtent l="1905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9204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2C4DDA0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5772582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6E6B2A9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4B60CD58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B27B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93A3D6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A52F501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8E1DF9" w14:textId="77777777"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620C7F9" w14:textId="77777777"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14:paraId="62A49896" w14:textId="77777777" w:rsidR="005F5551" w:rsidRDefault="005F5551" w:rsidP="005F5551">
      <w:pPr>
        <w:rPr>
          <w:rFonts w:ascii="Garamond" w:hAnsi="Garamond"/>
          <w:b/>
        </w:rPr>
      </w:pPr>
    </w:p>
    <w:p w14:paraId="5F7E9984" w14:textId="77777777"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16D453CB" w14:textId="77777777"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14:paraId="6A9F495E" w14:textId="77777777"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14:paraId="7BCE84F2" w14:textId="77777777"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gyermekétkeztet</w:t>
      </w:r>
      <w:r w:rsidR="0094710A">
        <w:rPr>
          <w:rFonts w:ascii="Garamond" w:hAnsi="Garamond"/>
          <w:b/>
        </w:rPr>
        <w:t>és intézményi térítési díjairól</w:t>
      </w:r>
    </w:p>
    <w:p w14:paraId="3CCF2409" w14:textId="77777777"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1A64B4D" w14:textId="77777777"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§-aiban,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§-aiban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14:paraId="13A3C79B" w14:textId="77777777"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14:paraId="0D2D37E3" w14:textId="77777777"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1AC5CA3F" w14:textId="77777777"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14:paraId="30EC9101" w14:textId="77777777"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14:paraId="7E839D17" w14:textId="77777777"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14:paraId="1A2E715F" w14:textId="77777777"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14:paraId="02C0004A" w14:textId="77777777"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14:paraId="1AD7C1E5" w14:textId="77777777"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14:paraId="62362BB5" w14:textId="77777777"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területére, terjed ki.</w:t>
      </w:r>
    </w:p>
    <w:p w14:paraId="5337B477" w14:textId="77777777"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14:paraId="1B1320C9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14:paraId="47DD738B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14:paraId="15A68200" w14:textId="77777777"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14:paraId="2FD6000F" w14:textId="77777777"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területén bejelentett lakóhellyel rendelkező bölcsődés, óvodás, általános iskolás korú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14:paraId="3FCD12EB" w14:textId="77777777"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hatálya </w:t>
      </w:r>
      <w:r>
        <w:rPr>
          <w:rFonts w:ascii="Garamond" w:hAnsi="Garamond"/>
        </w:rPr>
        <w:t xml:space="preserve"> a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14:paraId="395BA88C" w14:textId="77777777" w:rsidR="00C646B2" w:rsidRPr="00C646B2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>
        <w:rPr>
          <w:rFonts w:ascii="Garamond" w:hAnsi="Garamond"/>
        </w:rPr>
        <w:t xml:space="preserve"> önkormányzat által működtetett </w:t>
      </w:r>
      <w:r>
        <w:rPr>
          <w:rFonts w:ascii="Garamond" w:hAnsi="Garamond"/>
          <w:i/>
        </w:rPr>
        <w:t>konyhára,</w:t>
      </w:r>
    </w:p>
    <w:p w14:paraId="0C5DE146" w14:textId="77777777"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 Csanyteleki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14:paraId="0897E8D0" w14:textId="164D5C51"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14:paraId="46CB37BF" w14:textId="77777777"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terjed ki.</w:t>
      </w:r>
    </w:p>
    <w:p w14:paraId="7D267F76" w14:textId="77777777"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14:paraId="48F4D358" w14:textId="77777777"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14:paraId="735CAC02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14:paraId="453FCF26" w14:textId="77777777"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BFAB98D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14:paraId="1CAD1A69" w14:textId="2D545F9C"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14:paraId="37DAECDC" w14:textId="77777777"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14:paraId="64BD8F08" w14:textId="77777777"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>Alsó- Tisza-menti Többcélú Óvodák és Mini 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14:paraId="57252150" w14:textId="77777777"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14:paraId="467BDA1F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>mini bölcsődei ellátás,</w:t>
      </w:r>
    </w:p>
    <w:p w14:paraId="186BABDC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ab) </w:t>
      </w:r>
      <w:r>
        <w:rPr>
          <w:rFonts w:ascii="Garamond" w:hAnsi="Garamond"/>
        </w:rPr>
        <w:tab/>
        <w:t xml:space="preserve">óvodai nevelés feladatellátása, továbbá </w:t>
      </w:r>
    </w:p>
    <w:p w14:paraId="75ACCD2B" w14:textId="77777777"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14:paraId="0147D7F2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ba)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14:paraId="3C3412FD" w14:textId="77777777"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bb)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14:paraId="34C956F8" w14:textId="77777777"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bc)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14:paraId="2B1A2BFB" w14:textId="77777777"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 ellátás</w:t>
      </w:r>
      <w:r w:rsidR="00D0612B">
        <w:rPr>
          <w:rFonts w:ascii="Garamond" w:hAnsi="Garamond"/>
        </w:rPr>
        <w:t>.</w:t>
      </w:r>
    </w:p>
    <w:p w14:paraId="26160564" w14:textId="77777777"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4/A.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Kft-vel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14:paraId="35D99290" w14:textId="77777777"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>láttatja el az intézmény</w:t>
      </w:r>
      <w:r>
        <w:rPr>
          <w:rFonts w:ascii="Garamond" w:hAnsi="Garamond"/>
        </w:rPr>
        <w:t xml:space="preserve"> alapító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14:paraId="76D871DB" w14:textId="77777777"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6894CCB3" w14:textId="77777777"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14:paraId="2F7DEFD5" w14:textId="77777777"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14:paraId="0D667B13" w14:textId="77777777"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14:paraId="2F8C4053" w14:textId="77777777"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14:paraId="328C8160" w14:textId="77777777"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14:paraId="534C15D1" w14:textId="77777777"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>óvodai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14:paraId="28EDD9E1" w14:textId="77777777"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14:paraId="47CC563E" w14:textId="77777777"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a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14:paraId="051569A2" w14:textId="77777777"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>az aa)-ac)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14:paraId="21822EEA" w14:textId="77777777"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 w:rsidR="004D67E3">
        <w:rPr>
          <w:rFonts w:ascii="Garamond" w:hAnsi="Garamond"/>
          <w:i/>
        </w:rPr>
        <w:t>szünidő alatti gyermekétkeztetés</w:t>
      </w:r>
      <w:r w:rsidR="00841493">
        <w:rPr>
          <w:rFonts w:ascii="Garamond" w:hAnsi="Garamond"/>
          <w:i/>
        </w:rPr>
        <w:t>t</w:t>
      </w:r>
    </w:p>
    <w:p w14:paraId="1A4E904A" w14:textId="77777777"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r w:rsidR="00956818">
        <w:rPr>
          <w:rFonts w:ascii="Garamond" w:hAnsi="Garamond"/>
        </w:rPr>
        <w:t>ugyanezen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14:paraId="53023316" w14:textId="77777777"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14:paraId="166EA26B" w14:textId="77777777"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14:paraId="2D59AB07" w14:textId="77777777"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e.</w:t>
      </w:r>
    </w:p>
    <w:p w14:paraId="6403024F" w14:textId="42160D06"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>személyi térítési díj fizetés</w:t>
      </w:r>
      <w:r w:rsidR="002669B6">
        <w:rPr>
          <w:rFonts w:ascii="Garamond" w:hAnsi="Garamond"/>
          <w:i/>
        </w:rPr>
        <w:t xml:space="preserve">i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díj fizetési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14:paraId="627C7793" w14:textId="77777777"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 személyi térítési díj fizetési 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14:paraId="5C042B4D" w14:textId="77777777"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14:paraId="26FE0E34" w14:textId="77777777"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a  </w:t>
      </w:r>
      <w:r w:rsidR="00751398">
        <w:rPr>
          <w:rFonts w:ascii="Garamond" w:hAnsi="Garamond"/>
          <w:i/>
        </w:rPr>
        <w:t xml:space="preserve">mini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</w:t>
      </w:r>
      <w:r w:rsidR="009279D2">
        <w:rPr>
          <w:rFonts w:ascii="Garamond" w:hAnsi="Garamond"/>
        </w:rPr>
        <w:lastRenderedPageBreak/>
        <w:t>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14:paraId="7B73A393" w14:textId="77777777"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E573192" w14:textId="77777777"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további   hátralék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2156890" w14:textId="77777777"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számított  </w:t>
      </w:r>
      <w:r w:rsidR="00C938C7">
        <w:rPr>
          <w:rFonts w:ascii="Garamond" w:hAnsi="Garamond"/>
        </w:rPr>
        <w:t xml:space="preserve">legfeljebb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14:paraId="5A590A78" w14:textId="4435BBDA"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1 </w:t>
      </w:r>
      <w:r w:rsidR="00C239B1">
        <w:rPr>
          <w:rFonts w:ascii="Garamond" w:hAnsi="Garamond"/>
        </w:rPr>
        <w:t xml:space="preserve"> év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14:paraId="24F3733D" w14:textId="77777777"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 w:rsidRPr="00987D58">
        <w:rPr>
          <w:rFonts w:ascii="Garamond" w:hAnsi="Garamond"/>
        </w:rPr>
        <w:t>melynek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feladatellátási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14:paraId="2A98B63D" w14:textId="77777777"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 xml:space="preserve">ét,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14:paraId="3F941C26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14:paraId="3008BD6A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14:paraId="5A575CA7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14:paraId="648A6801" w14:textId="77777777"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14:paraId="2CC4D970" w14:textId="660F323A"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C239B1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>Abban az esetben, ha a kötelezett arra igényt tart, úgy az intézményből távollévő  gyermeke részére, a távolléte időszakára, a napi ételadag hazavihető, melyhez szükséges edény szolgáltatást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14:paraId="16D666D2" w14:textId="77777777"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bölcsődei 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>, a tagintézményvezető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 xml:space="preserve">mini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14:paraId="3A33448E" w14:textId="77777777"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14:paraId="5BD9D340" w14:textId="77777777"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14:paraId="4E8A2C05" w14:textId="77777777"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5C799A1" w14:textId="77777777"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14:paraId="755D78D9" w14:textId="77777777"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1DF201FD" w14:textId="77777777"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léptető </w:t>
      </w:r>
      <w:r w:rsidR="00F4642C">
        <w:rPr>
          <w:rFonts w:ascii="Garamond" w:hAnsi="Garamond"/>
          <w:i/>
        </w:rPr>
        <w:t xml:space="preserve"> és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14:paraId="684302C7" w14:textId="77777777"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14:paraId="6DCE6B26" w14:textId="77777777"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14:paraId="22F18F5C" w14:textId="77777777"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14:paraId="28158E52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5E01A7B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08C261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14:paraId="1B9D4D6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7CAFC34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7DE39C7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FF5D09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14:paraId="34508248" w14:textId="77777777"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14:paraId="0FA2D1EF" w14:textId="77777777"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45C8621" w14:textId="77777777"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C9284B2" w14:textId="77777777"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3BF958F0" w14:textId="77777777"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14:paraId="0B054C57" w14:textId="756A3456" w:rsidR="007D3D6C" w:rsidRDefault="007D3D6C" w:rsidP="00333647">
      <w:pPr>
        <w:tabs>
          <w:tab w:val="left" w:pos="5640"/>
        </w:tabs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 xml:space="preserve">1. </w:t>
      </w:r>
      <w:r>
        <w:rPr>
          <w:rStyle w:val="Vgjegyzet-hivatkozs"/>
          <w:rFonts w:ascii="Garamond" w:hAnsi="Garamond"/>
          <w:i/>
        </w:rPr>
        <w:endnoteReference w:id="1"/>
      </w:r>
      <w:r>
        <w:rPr>
          <w:rFonts w:ascii="Garamond" w:hAnsi="Garamond"/>
          <w:i/>
        </w:rPr>
        <w:t>melléklet a 14/2018. (XI. 29.) önkormányzati rendelethez</w:t>
      </w:r>
      <w:r w:rsidR="00333647">
        <w:rPr>
          <w:rFonts w:ascii="Garamond" w:hAnsi="Garamond"/>
          <w:i/>
        </w:rPr>
        <w:tab/>
      </w:r>
    </w:p>
    <w:p w14:paraId="55E9D64B" w14:textId="77777777"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14:paraId="48F6B179" w14:textId="77777777"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14:paraId="15ECF976" w14:textId="06CEDCBB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3F2ADE03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6A93F121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  Csanyteleki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4896693D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4D50125D" w14:textId="77777777" w:rsidR="003F3F4E" w:rsidRDefault="003F3F4E" w:rsidP="003F3F4E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4B9256D9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656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F873426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5D9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1DC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3599B961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B0D4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815E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08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320CF181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nettó  intézményi  térítési díja (forintban) </w:t>
            </w:r>
          </w:p>
        </w:tc>
      </w:tr>
      <w:tr w:rsidR="003F3F4E" w14:paraId="2061E43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9E1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FE9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CFD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14:paraId="746DDCE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08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580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2E8E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3F3F4E" w14:paraId="0DF1DD8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18D4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C8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768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3F3F4E" w14:paraId="5A5A7F5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48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EA4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14:paraId="140C384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388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4C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79BD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33D7D5E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A36F901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29FB8AA2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20238A7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1A44234E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430B297F" w14:textId="77777777" w:rsidR="003F3F4E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1E43D5E4" w14:textId="77777777" w:rsidR="003F3F4E" w:rsidRPr="00B31B83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2B713CC2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3234A968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953C6D6" w14:textId="77777777" w:rsidR="003F3F4E" w:rsidRDefault="003F3F4E" w:rsidP="003F3F4E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09AE797F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C13C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7A4C4D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56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119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6078B91B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BF3A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CF7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C9D2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64066E34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 intézményi  térítési díja</w:t>
            </w:r>
          </w:p>
          <w:p w14:paraId="65BEB6D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3F3F4E" w14:paraId="3C588A0B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35B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9B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3F3F4E" w14:paraId="6450704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E6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E1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7A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24</w:t>
            </w:r>
          </w:p>
        </w:tc>
      </w:tr>
      <w:tr w:rsidR="003F3F4E" w14:paraId="6DD96AB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A3D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3F5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E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275</w:t>
            </w:r>
          </w:p>
        </w:tc>
      </w:tr>
      <w:tr w:rsidR="003F3F4E" w14:paraId="7BCA60E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84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DB50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7843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3F3F4E" w14:paraId="0534CBB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717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72F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E6F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578320D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F24FF40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496134FB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13A6F68" w14:textId="77777777" w:rsidR="003F3F4E" w:rsidRDefault="003F3F4E" w:rsidP="003F3F4E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29D0A3AD" w14:textId="77777777" w:rsidR="003F3F4E" w:rsidRDefault="003F3F4E" w:rsidP="003F3F4E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4423F4D8" w14:textId="77777777" w:rsidR="003F3F4E" w:rsidRPr="00683F59" w:rsidRDefault="003F3F4E" w:rsidP="003F3F4E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3274E9D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4A3CDCF6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1BF5B81D" w14:textId="77777777" w:rsidR="003F3F4E" w:rsidRPr="007F14FD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 nettó intézményi térítési díja mértékei</w:t>
      </w:r>
    </w:p>
    <w:p w14:paraId="3CA4F5D8" w14:textId="77777777" w:rsidR="003F3F4E" w:rsidRPr="00683F59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F7839FC" w14:textId="77777777" w:rsidR="003F3F4E" w:rsidRPr="007F2BCA" w:rsidRDefault="003F3F4E" w:rsidP="003F3F4E">
      <w:pPr>
        <w:pStyle w:val="Listaszerbekezds"/>
        <w:numPr>
          <w:ilvl w:val="0"/>
          <w:numId w:val="23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62553C35" w14:textId="77777777" w:rsidR="003F3F4E" w:rsidRDefault="003F3F4E" w:rsidP="003F3F4E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3F3F4E" w14:paraId="692FDC1C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97E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E17E3F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39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413E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2DF0657C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1049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B2DD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82F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öltségének </w:t>
            </w:r>
          </w:p>
          <w:p w14:paraId="078FAD1A" w14:textId="77777777" w:rsidR="003F3F4E" w:rsidRPr="00450C96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 napi adag) nettó intézményi térítési díja (forintban) </w:t>
            </w:r>
          </w:p>
        </w:tc>
      </w:tr>
      <w:tr w:rsidR="003F3F4E" w14:paraId="66AE7CFC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11D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915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D3A0" w14:textId="31F705E0" w:rsidR="003F3F4E" w:rsidRPr="0096652B" w:rsidRDefault="007D22A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3F3F4E" w14:paraId="5D96CA6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3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9ED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FE6" w14:textId="465870E7" w:rsidR="003F3F4E" w:rsidRPr="0096652B" w:rsidRDefault="007D22A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306</w:t>
            </w:r>
          </w:p>
        </w:tc>
      </w:tr>
      <w:tr w:rsidR="003F3F4E" w14:paraId="7E24A59D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1E1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84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73D7" w14:textId="58DDE36C" w:rsidR="003F3F4E" w:rsidRPr="0096652B" w:rsidRDefault="007D22A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3F3F4E" w14:paraId="68D8EC65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862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5D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D4D" w14:textId="5CF20656" w:rsidR="003F3F4E" w:rsidRPr="0096652B" w:rsidRDefault="007D22A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500</w:t>
            </w:r>
          </w:p>
        </w:tc>
      </w:tr>
    </w:tbl>
    <w:p w14:paraId="5EE74143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8BF7E1B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555B8B0" w14:textId="77777777" w:rsidR="003F3F4E" w:rsidRPr="00683F59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49AFA7A" w14:textId="77777777" w:rsidR="003F3F4E" w:rsidRPr="007F2BCA" w:rsidRDefault="003F3F4E" w:rsidP="003F3F4E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1887D930" w14:textId="77777777" w:rsidR="003F3F4E" w:rsidRDefault="003F3F4E" w:rsidP="003F3F4E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3F3F4E" w14:paraId="779704A4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C920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5C679D6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F6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4654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F209947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F8CB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6F44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6B9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26C643B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46934EB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EB7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462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341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14:paraId="02346BEA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B4F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7C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E948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296</w:t>
            </w:r>
          </w:p>
        </w:tc>
      </w:tr>
      <w:tr w:rsidR="003F3F4E" w14:paraId="15495256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41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C1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5FF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14:paraId="26F70BC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6B4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4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A7EE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494</w:t>
            </w:r>
          </w:p>
        </w:tc>
      </w:tr>
    </w:tbl>
    <w:p w14:paraId="6E8BEBF1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8E77929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331FD012" w14:textId="77777777" w:rsidR="003F3F4E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67E0287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14:paraId="0B33D388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5E46BDC1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3F3F4E" w14:paraId="3E6D45C3" w14:textId="77777777" w:rsidTr="009E7A7B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7B8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7092429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C16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A881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8FE1E21" w14:textId="77777777" w:rsidTr="009E7A7B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2F12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8839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E5DF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4D498848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69FB4A2D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8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4A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80A6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101</w:t>
            </w:r>
          </w:p>
        </w:tc>
      </w:tr>
      <w:tr w:rsidR="003F3F4E" w14:paraId="1467B2DF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936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98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51B8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3F3F4E" w14:paraId="1D9EA66E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E33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66E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EAFC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 99</w:t>
            </w:r>
          </w:p>
        </w:tc>
      </w:tr>
      <w:tr w:rsidR="003F3F4E" w14:paraId="75E45834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9E7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A55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2399" w14:textId="77777777" w:rsidR="003F3F4E" w:rsidRPr="00A6496D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5418C8D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5DE976E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7644C4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DCFEAAF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C6B04B4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0A05205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1776190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BE67953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3C93ED8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A7CB3AB" w14:textId="06385592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A376A93" w14:textId="7B006D81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A75E17A" w14:textId="7757E9A5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2AB6777" w14:textId="04ACF1E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9C93B87" w14:textId="37FDB09B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A6CFDB5" w14:textId="624DC29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C2F4A1D" w14:textId="1D3B0EE8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DB7A1FC" w14:textId="08CE3A3C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A9CC2AC" w14:textId="1AE52724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41B3DB5" w14:textId="77777777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D0580B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7288F6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A132E59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CE5FFC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E930B81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5D05FA1" w14:textId="77777777"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14:paraId="75F163EC" w14:textId="1E2961B9" w:rsidR="0036153B" w:rsidRDefault="000951B8" w:rsidP="007F45EA">
      <w:pPr>
        <w:spacing w:after="0" w:line="240" w:lineRule="auto"/>
        <w:ind w:right="-284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 w:rsidR="0036153B">
        <w:rPr>
          <w:rFonts w:ascii="Times New Roman" w:hAnsi="Times New Roman" w:cs="Times New Roman"/>
        </w:rPr>
        <w:t xml:space="preserve"> 13</w:t>
      </w:r>
      <w:r>
        <w:rPr>
          <w:rFonts w:ascii="Times New Roman" w:hAnsi="Times New Roman" w:cs="Times New Roman"/>
        </w:rPr>
        <w:t>/2019. (XI. 29.) önkormá</w:t>
      </w:r>
      <w:r w:rsidR="001508C9">
        <w:rPr>
          <w:rFonts w:ascii="Times New Roman" w:hAnsi="Times New Roman" w:cs="Times New Roman"/>
        </w:rPr>
        <w:t xml:space="preserve">nyzati rendelet, amely </w:t>
      </w:r>
      <w:r>
        <w:rPr>
          <w:rFonts w:ascii="Times New Roman" w:hAnsi="Times New Roman" w:cs="Times New Roman"/>
        </w:rPr>
        <w:t>2020. január 01.napjá</w:t>
      </w:r>
      <w:r w:rsidR="001508C9">
        <w:rPr>
          <w:rFonts w:ascii="Times New Roman" w:hAnsi="Times New Roman" w:cs="Times New Roman"/>
        </w:rPr>
        <w:t>val lép</w:t>
      </w:r>
      <w:r w:rsidR="00206516">
        <w:rPr>
          <w:rFonts w:ascii="Times New Roman" w:hAnsi="Times New Roman" w:cs="Times New Roman"/>
        </w:rPr>
        <w:t>ett</w:t>
      </w:r>
      <w:r w:rsidR="001508C9"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5317E744" w14:textId="77777777" w:rsidR="00BE5EC7" w:rsidRDefault="0036153B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>
        <w:rPr>
          <w:rFonts w:ascii="Times New Roman" w:hAnsi="Times New Roman" w:cs="Times New Roman"/>
        </w:rPr>
        <w:t xml:space="preserve"> 10/20</w:t>
      </w:r>
      <w:r w:rsidR="00A42B3B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(XI. </w:t>
      </w:r>
      <w:r w:rsidR="006A60F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.) önkormányzati rendelet, amely 2021. január 01.napjával lép</w:t>
      </w:r>
      <w:r w:rsidR="00206516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667D7BE1" w14:textId="362E8A6C" w:rsidR="00B119C6" w:rsidRDefault="00BE5EC7" w:rsidP="002065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>
        <w:rPr>
          <w:rFonts w:ascii="Times New Roman" w:hAnsi="Times New Roman" w:cs="Times New Roman"/>
        </w:rPr>
        <w:t xml:space="preserve">   </w:t>
      </w:r>
      <w:r w:rsidR="003519D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/2021. (XI. 26.) önkormányzati rendelet, amely 2022. január 01.napjával lép</w:t>
      </w:r>
      <w:r w:rsidR="008C1921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  <w:r w:rsidR="008C1921" w:rsidRPr="0084093B">
        <w:rPr>
          <w:rStyle w:val="Vgjegyzet-hivatkozs"/>
          <w:rFonts w:ascii="Times New Roman" w:hAnsi="Times New Roman" w:cs="Times New Roman"/>
        </w:rPr>
        <w:footnoteRef/>
      </w:r>
      <w:r w:rsidR="008C1921" w:rsidRPr="0084093B">
        <w:rPr>
          <w:rFonts w:ascii="Times New Roman" w:hAnsi="Times New Roman" w:cs="Times New Roman"/>
        </w:rPr>
        <w:t xml:space="preserve"> Módosította </w:t>
      </w:r>
      <w:r w:rsidR="008C1921">
        <w:rPr>
          <w:rFonts w:ascii="Times New Roman" w:hAnsi="Times New Roman" w:cs="Times New Roman"/>
        </w:rPr>
        <w:t xml:space="preserve">a   </w:t>
      </w:r>
      <w:r w:rsidR="00F23640">
        <w:rPr>
          <w:rFonts w:ascii="Times New Roman" w:hAnsi="Times New Roman" w:cs="Times New Roman"/>
        </w:rPr>
        <w:t>9</w:t>
      </w:r>
      <w:r w:rsidR="008C1921">
        <w:rPr>
          <w:rFonts w:ascii="Times New Roman" w:hAnsi="Times New Roman" w:cs="Times New Roman"/>
        </w:rPr>
        <w:t>/2022. (VII. 29.) önkormányzati rendelet, amely 2022. szeptember 1. napján lép hatályba</w:t>
      </w:r>
    </w:p>
    <w:p w14:paraId="481BA617" w14:textId="77777777" w:rsidR="00B119C6" w:rsidRDefault="00B119C6" w:rsidP="002065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</w:p>
    <w:p w14:paraId="48935D07" w14:textId="77064F43" w:rsidR="005F5551" w:rsidRDefault="005F5551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5864BEF7" w14:textId="77777777"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14:paraId="2BFEF960" w14:textId="77777777"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6FB1A413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14:paraId="0CF062B1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gyermekétkeztetés, normatív kedvezmények igénybevételéhez</w:t>
      </w:r>
    </w:p>
    <w:p w14:paraId="7D06E874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r w:rsidRPr="00361868">
        <w:rPr>
          <w:rFonts w:ascii="Garamond" w:hAnsi="Garamond"/>
          <w:i/>
          <w:sz w:val="24"/>
          <w:szCs w:val="24"/>
        </w:rPr>
        <w:t>bölcsődei ellátás és óvodai nevelés esetén</w:t>
      </w:r>
    </w:p>
    <w:p w14:paraId="0D10A746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14:paraId="52EDE918" w14:textId="77777777"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Alulírott…………………………………(születési név:………………………….), születési hely, idő:…….év………hónap…nap, anyja neve:……………………………) …………………………….</w:t>
      </w:r>
    </w:p>
    <w:p w14:paraId="0C140E32" w14:textId="77777777"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14:paraId="78714AC9" w14:textId="77777777"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14:paraId="2D4EEAD2" w14:textId="77777777"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14:paraId="4793400C" w14:textId="77777777"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szülője/törvényes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gyermek(ek)**</w:t>
      </w:r>
    </w:p>
    <w:p w14:paraId="770CEA51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részesül:……év……………...hónap……napjától,</w:t>
      </w:r>
    </w:p>
    <w:p w14:paraId="45861D16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14:paraId="4516B1FA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14:paraId="12B6AD9F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14:paraId="052F7286" w14:textId="77777777"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14:paraId="08493648" w14:textId="77777777"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14:paraId="7BB41316" w14:textId="77777777"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464D3644" w14:textId="77777777"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14:paraId="1B27B189" w14:textId="77777777"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14:paraId="5CD29EA6" w14:textId="77777777"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a)-e) pontok szerinti feltételek egyikének sem felel meg.</w:t>
      </w:r>
    </w:p>
    <w:p w14:paraId="171D23E5" w14:textId="77777777"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</w:p>
    <w:p w14:paraId="53F6B6A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3AC9C9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14:paraId="6A426E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14:paraId="1194805C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090CF496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…………………………………, ……..év ……………………. hónap ………. nap</w:t>
      </w:r>
    </w:p>
    <w:p w14:paraId="510FC39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64CF0198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14:paraId="747D1595" w14:textId="77777777"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r w:rsidR="003F5E15">
        <w:rPr>
          <w:rFonts w:ascii="Garamond" w:hAnsi="Garamond"/>
          <w:sz w:val="24"/>
          <w:szCs w:val="24"/>
        </w:rPr>
        <w:t xml:space="preserve">többcélú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14:paraId="7DB1EE8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14:paraId="2E17FB5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sajátkezű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14:paraId="691149A2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5742CBAE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A074" w14:textId="77777777" w:rsidR="0084093B" w:rsidRDefault="0084093B" w:rsidP="0084093B">
      <w:pPr>
        <w:spacing w:after="0" w:line="240" w:lineRule="auto"/>
      </w:pPr>
      <w:r>
        <w:separator/>
      </w:r>
    </w:p>
  </w:endnote>
  <w:endnote w:type="continuationSeparator" w:id="0">
    <w:p w14:paraId="18E8894C" w14:textId="77777777" w:rsidR="0084093B" w:rsidRDefault="0084093B" w:rsidP="0084093B">
      <w:pPr>
        <w:spacing w:after="0" w:line="240" w:lineRule="auto"/>
      </w:pPr>
      <w:r>
        <w:continuationSeparator/>
      </w:r>
    </w:p>
  </w:endnote>
  <w:endnote w:id="1">
    <w:p w14:paraId="654E4D17" w14:textId="77777777" w:rsidR="007D3D6C" w:rsidRDefault="007D3D6C" w:rsidP="007D3D6C">
      <w:pPr>
        <w:pStyle w:val="Vgjegyzetszvege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086B" w14:textId="77777777" w:rsidR="0084093B" w:rsidRDefault="0084093B" w:rsidP="0084093B">
      <w:pPr>
        <w:spacing w:after="0" w:line="240" w:lineRule="auto"/>
      </w:pPr>
      <w:r>
        <w:separator/>
      </w:r>
    </w:p>
  </w:footnote>
  <w:footnote w:type="continuationSeparator" w:id="0">
    <w:p w14:paraId="75925348" w14:textId="77777777" w:rsidR="0084093B" w:rsidRDefault="0084093B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38881481">
    <w:abstractNumId w:val="10"/>
  </w:num>
  <w:num w:numId="2" w16cid:durableId="751199491">
    <w:abstractNumId w:val="26"/>
  </w:num>
  <w:num w:numId="3" w16cid:durableId="294021186">
    <w:abstractNumId w:val="17"/>
  </w:num>
  <w:num w:numId="4" w16cid:durableId="434640990">
    <w:abstractNumId w:val="27"/>
  </w:num>
  <w:num w:numId="5" w16cid:durableId="1727878022">
    <w:abstractNumId w:val="0"/>
  </w:num>
  <w:num w:numId="6" w16cid:durableId="601107079">
    <w:abstractNumId w:val="37"/>
  </w:num>
  <w:num w:numId="7" w16cid:durableId="746344459">
    <w:abstractNumId w:val="21"/>
  </w:num>
  <w:num w:numId="8" w16cid:durableId="1636983701">
    <w:abstractNumId w:val="33"/>
  </w:num>
  <w:num w:numId="9" w16cid:durableId="1979261994">
    <w:abstractNumId w:val="16"/>
  </w:num>
  <w:num w:numId="10" w16cid:durableId="307175244">
    <w:abstractNumId w:val="30"/>
  </w:num>
  <w:num w:numId="11" w16cid:durableId="185750132">
    <w:abstractNumId w:val="29"/>
  </w:num>
  <w:num w:numId="12" w16cid:durableId="38476337">
    <w:abstractNumId w:val="14"/>
  </w:num>
  <w:num w:numId="13" w16cid:durableId="1150175133">
    <w:abstractNumId w:val="24"/>
  </w:num>
  <w:num w:numId="14" w16cid:durableId="1088235272">
    <w:abstractNumId w:val="1"/>
  </w:num>
  <w:num w:numId="15" w16cid:durableId="1238857548">
    <w:abstractNumId w:val="38"/>
  </w:num>
  <w:num w:numId="16" w16cid:durableId="27418231">
    <w:abstractNumId w:val="4"/>
  </w:num>
  <w:num w:numId="17" w16cid:durableId="2016807567">
    <w:abstractNumId w:val="20"/>
  </w:num>
  <w:num w:numId="18" w16cid:durableId="1851988926">
    <w:abstractNumId w:val="32"/>
  </w:num>
  <w:num w:numId="19" w16cid:durableId="944073596">
    <w:abstractNumId w:val="28"/>
  </w:num>
  <w:num w:numId="20" w16cid:durableId="468322994">
    <w:abstractNumId w:val="6"/>
  </w:num>
  <w:num w:numId="21" w16cid:durableId="1027365159">
    <w:abstractNumId w:val="13"/>
  </w:num>
  <w:num w:numId="22" w16cid:durableId="1160123399">
    <w:abstractNumId w:val="7"/>
  </w:num>
  <w:num w:numId="23" w16cid:durableId="1768161386">
    <w:abstractNumId w:val="15"/>
  </w:num>
  <w:num w:numId="24" w16cid:durableId="945692416">
    <w:abstractNumId w:val="19"/>
  </w:num>
  <w:num w:numId="25" w16cid:durableId="1197691549">
    <w:abstractNumId w:val="8"/>
  </w:num>
  <w:num w:numId="26" w16cid:durableId="855849376">
    <w:abstractNumId w:val="34"/>
  </w:num>
  <w:num w:numId="27" w16cid:durableId="19744744">
    <w:abstractNumId w:val="12"/>
  </w:num>
  <w:num w:numId="28" w16cid:durableId="2043628943">
    <w:abstractNumId w:val="23"/>
  </w:num>
  <w:num w:numId="29" w16cid:durableId="318732385">
    <w:abstractNumId w:val="9"/>
  </w:num>
  <w:num w:numId="30" w16cid:durableId="812333311">
    <w:abstractNumId w:val="22"/>
  </w:num>
  <w:num w:numId="31" w16cid:durableId="1972205194">
    <w:abstractNumId w:val="18"/>
  </w:num>
  <w:num w:numId="32" w16cid:durableId="1465194329">
    <w:abstractNumId w:val="35"/>
  </w:num>
  <w:num w:numId="33" w16cid:durableId="1029332880">
    <w:abstractNumId w:val="25"/>
  </w:num>
  <w:num w:numId="34" w16cid:durableId="782388137">
    <w:abstractNumId w:val="36"/>
  </w:num>
  <w:num w:numId="35" w16cid:durableId="2136285587">
    <w:abstractNumId w:val="5"/>
  </w:num>
  <w:num w:numId="36" w16cid:durableId="1000623442">
    <w:abstractNumId w:val="31"/>
  </w:num>
  <w:num w:numId="37" w16cid:durableId="1948148274">
    <w:abstractNumId w:val="2"/>
  </w:num>
  <w:num w:numId="38" w16cid:durableId="481191383">
    <w:abstractNumId w:val="11"/>
  </w:num>
  <w:num w:numId="39" w16cid:durableId="1514109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814C6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3647"/>
    <w:rsid w:val="00336508"/>
    <w:rsid w:val="00341570"/>
    <w:rsid w:val="00347219"/>
    <w:rsid w:val="003519D2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5DFB"/>
    <w:rsid w:val="00417A24"/>
    <w:rsid w:val="00427A65"/>
    <w:rsid w:val="00436999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4DC8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22AE"/>
    <w:rsid w:val="007D3D6C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1921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19C6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C2B58"/>
    <w:rsid w:val="00EC36AC"/>
    <w:rsid w:val="00EC5237"/>
    <w:rsid w:val="00EC6248"/>
    <w:rsid w:val="00EE0546"/>
    <w:rsid w:val="00EF2E5B"/>
    <w:rsid w:val="00F15D8A"/>
    <w:rsid w:val="00F23640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2081"/>
  <w15:docId w15:val="{A9F113DD-1A67-4182-BF5D-BAE96B70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41C24-EE01-4938-8FF6-BDDBD66C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2204</Words>
  <Characters>15212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2018-11-30T10:31:00Z</cp:lastPrinted>
  <dcterms:created xsi:type="dcterms:W3CDTF">2021-11-12T10:26:00Z</dcterms:created>
  <dcterms:modified xsi:type="dcterms:W3CDTF">2022-08-02T11:21:00Z</dcterms:modified>
</cp:coreProperties>
</file>