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55D25D45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573D9C">
        <w:rPr>
          <w:rFonts w:ascii="Garamond" w:hAnsi="Garamond"/>
          <w:sz w:val="22"/>
          <w:szCs w:val="22"/>
        </w:rPr>
        <w:t>1293-3</w:t>
      </w:r>
      <w:r w:rsidR="00732863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573D9C">
        <w:rPr>
          <w:rFonts w:ascii="Garamond" w:hAnsi="Garamond"/>
          <w:sz w:val="22"/>
          <w:szCs w:val="22"/>
        </w:rPr>
        <w:t>4</w:t>
      </w:r>
      <w:r w:rsidR="001F02C1"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DBB6DE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érzékeltetik.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27626684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</w:t>
      </w:r>
      <w:r w:rsidR="00814647">
        <w:rPr>
          <w:rFonts w:ascii="Garamond" w:hAnsi="Garamond"/>
          <w:sz w:val="22"/>
          <w:szCs w:val="22"/>
        </w:rPr>
        <w:t>. Tárgyi módosító rendelet tartalmának lényege,</w:t>
      </w:r>
      <w:r>
        <w:rPr>
          <w:rFonts w:ascii="Garamond" w:hAnsi="Garamond"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hogy az önkormányzat </w:t>
      </w:r>
      <w:r w:rsidR="00EF6A0D">
        <w:rPr>
          <w:rFonts w:ascii="Garamond" w:hAnsi="Garamond"/>
          <w:sz w:val="22"/>
          <w:szCs w:val="22"/>
        </w:rPr>
        <w:t>vagyonnal való gazdálkodása keretébe tartozó tulajdonosi és kezelői jog gyakorlására vonatkozó hozzájárulás kiadásának jogát átruházza a település jegyzőre (1. melléklet b) pont 3.) továbbá kiegészíti a 2. mellékletet egy új COFOG kóddal.</w:t>
      </w:r>
      <w:r w:rsidR="00814647">
        <w:rPr>
          <w:rFonts w:ascii="Garamond" w:hAnsi="Garamond"/>
          <w:i/>
          <w:iCs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Az erről való tájékoztatás a település lakossága számára </w:t>
      </w:r>
      <w:r w:rsidR="00EF6A0D">
        <w:rPr>
          <w:rFonts w:ascii="Garamond" w:hAnsi="Garamond"/>
          <w:sz w:val="22"/>
          <w:szCs w:val="22"/>
        </w:rPr>
        <w:t>kö</w:t>
      </w:r>
      <w:r w:rsidR="00231225">
        <w:rPr>
          <w:rFonts w:ascii="Garamond" w:hAnsi="Garamond"/>
          <w:sz w:val="22"/>
          <w:szCs w:val="22"/>
        </w:rPr>
        <w:t>zömbös,</w:t>
      </w:r>
      <w:r w:rsidR="0081464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a tárgyi indokolás közzétételét </w:t>
      </w:r>
      <w:r w:rsidR="00231225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nem tartom 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szükségesnek.</w:t>
      </w:r>
    </w:p>
    <w:p w14:paraId="180F0EC2" w14:textId="77777777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</w:p>
    <w:p w14:paraId="14B5E134" w14:textId="20E309BA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>A beterjesztett rendelet-tervezet un. „belső” jogszabály, amely csak közvetve érint állampolgári jogokat és kötelezettséget</w:t>
      </w:r>
      <w:r w:rsidR="00231225">
        <w:rPr>
          <w:rFonts w:ascii="Garamond" w:hAnsi="Garamond"/>
          <w:sz w:val="22"/>
          <w:szCs w:val="22"/>
        </w:rPr>
        <w:t>. Az alaprendeletet módosító</w:t>
      </w:r>
      <w:r>
        <w:rPr>
          <w:rFonts w:ascii="Garamond" w:hAnsi="Garamond"/>
          <w:sz w:val="22"/>
          <w:szCs w:val="22"/>
        </w:rPr>
        <w:t xml:space="preserve"> </w:t>
      </w:r>
      <w:r w:rsidR="00231225">
        <w:rPr>
          <w:rFonts w:ascii="Garamond" w:hAnsi="Garamond"/>
          <w:sz w:val="22"/>
          <w:szCs w:val="22"/>
        </w:rPr>
        <w:t xml:space="preserve">önkormányzati rendelet </w:t>
      </w:r>
      <w:r>
        <w:rPr>
          <w:rFonts w:ascii="Garamond" w:hAnsi="Garamond"/>
          <w:sz w:val="22"/>
          <w:szCs w:val="22"/>
        </w:rPr>
        <w:t xml:space="preserve">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</w:t>
      </w:r>
      <w:r w:rsidRPr="00DB6C8E">
        <w:rPr>
          <w:rFonts w:ascii="Garamond" w:hAnsi="Garamond"/>
          <w:bCs/>
          <w:i/>
          <w:iCs/>
          <w:sz w:val="22"/>
          <w:szCs w:val="22"/>
        </w:rPr>
        <w:t>állapítja meg</w:t>
      </w:r>
      <w:r w:rsidR="00231225">
        <w:rPr>
          <w:rFonts w:ascii="Garamond" w:hAnsi="Garamond"/>
          <w:bCs/>
          <w:i/>
          <w:iCs/>
          <w:sz w:val="22"/>
          <w:szCs w:val="22"/>
        </w:rPr>
        <w:t>, az átruházott hatásköröket állapítja meg az 1. mellékletben, a számviteli szabályok betartását pedig a 2. melléklet új kormányzati funkció bevezetésével egészíti ki.</w:t>
      </w:r>
      <w:r w:rsidRPr="00DB6C8E">
        <w:rPr>
          <w:rFonts w:ascii="Garamond" w:hAnsi="Garamond"/>
          <w:bCs/>
          <w:i/>
          <w:iCs/>
          <w:sz w:val="22"/>
          <w:szCs w:val="22"/>
        </w:rPr>
        <w:t xml:space="preserve"> </w:t>
      </w:r>
    </w:p>
    <w:p w14:paraId="45B799EC" w14:textId="77777777" w:rsidR="00231225" w:rsidRPr="00DB6C8E" w:rsidRDefault="00231225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</w:p>
    <w:p w14:paraId="27C0748F" w14:textId="4431F359" w:rsidR="00DB6C8E" w:rsidRDefault="00DB6C8E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>A fent írtakra tekintettel elkerülhetetlen az alaprendelet módosítása, benne 202</w:t>
      </w:r>
      <w:r w:rsidR="00231225">
        <w:rPr>
          <w:rFonts w:ascii="Garamond" w:hAnsi="Garamond"/>
          <w:sz w:val="22"/>
          <w:szCs w:val="22"/>
        </w:rPr>
        <w:t>4</w:t>
      </w:r>
      <w:r w:rsidRPr="00DB6C8E">
        <w:rPr>
          <w:rFonts w:ascii="Garamond" w:hAnsi="Garamond"/>
          <w:sz w:val="22"/>
          <w:szCs w:val="22"/>
        </w:rPr>
        <w:t xml:space="preserve">. </w:t>
      </w:r>
      <w:r w:rsidR="00231225">
        <w:rPr>
          <w:rFonts w:ascii="Garamond" w:hAnsi="Garamond"/>
          <w:sz w:val="22"/>
          <w:szCs w:val="22"/>
        </w:rPr>
        <w:t>szeptember 0</w:t>
      </w:r>
      <w:r w:rsidRPr="00DB6C8E">
        <w:rPr>
          <w:rFonts w:ascii="Garamond" w:hAnsi="Garamond"/>
          <w:sz w:val="22"/>
          <w:szCs w:val="22"/>
        </w:rPr>
        <w:t xml:space="preserve">1. napjától </w:t>
      </w:r>
      <w:r w:rsidR="00231225">
        <w:rPr>
          <w:rFonts w:ascii="Garamond" w:hAnsi="Garamond"/>
          <w:sz w:val="22"/>
          <w:szCs w:val="22"/>
        </w:rPr>
        <w:t>hatályba lépő</w:t>
      </w:r>
      <w:r w:rsidRPr="00DB6C8E">
        <w:rPr>
          <w:rFonts w:ascii="Garamond" w:hAnsi="Garamond"/>
          <w:sz w:val="22"/>
          <w:szCs w:val="22"/>
        </w:rPr>
        <w:t xml:space="preserve"> rendelkezés kiadása akként, hogy az 1. melléklet helyébe a módosító rendelet 1. melléklete</w:t>
      </w:r>
      <w:r w:rsidR="00231225">
        <w:rPr>
          <w:rFonts w:ascii="Garamond" w:hAnsi="Garamond"/>
          <w:sz w:val="22"/>
          <w:szCs w:val="22"/>
        </w:rPr>
        <w:t>, a 2. melléklet helyébe pedig a módosító rendelet 2. melléklete</w:t>
      </w:r>
      <w:r w:rsidRPr="00DB6C8E">
        <w:rPr>
          <w:rFonts w:ascii="Garamond" w:hAnsi="Garamond"/>
          <w:sz w:val="22"/>
          <w:szCs w:val="22"/>
        </w:rPr>
        <w:t xml:space="preserve"> lépjen</w:t>
      </w:r>
      <w:r w:rsidR="00231225">
        <w:rPr>
          <w:rFonts w:ascii="Garamond" w:hAnsi="Garamond"/>
          <w:sz w:val="22"/>
          <w:szCs w:val="22"/>
        </w:rPr>
        <w:t>.</w:t>
      </w:r>
    </w:p>
    <w:p w14:paraId="0546E584" w14:textId="77777777" w:rsidR="00231225" w:rsidRDefault="00231225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20623890" w14:textId="16556900" w:rsidR="00231225" w:rsidRDefault="00231225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vonatkozó hatályos központi jogszabályok összhangjának hiánya oda vezetett, hogy ütközik a tulajdonosi jogokról és a közútkezelői jogot gyakorlókról szóló rendelkezés, ezért kérdésessé vált, hogy ki jogosított egy adott közmű kiépítése során a tulajdonosi jogról és a közútkezelői jogról jognyilatkozatot tenni. Ezt a kérdést oldja fel, hogy a feladat- és hatáskör gyakorlására jogosított Képviselő-testület eljárásjogi </w:t>
      </w:r>
      <w:r w:rsidR="00411355">
        <w:rPr>
          <w:rFonts w:ascii="Garamond" w:hAnsi="Garamond"/>
          <w:sz w:val="22"/>
          <w:szCs w:val="22"/>
        </w:rPr>
        <w:t xml:space="preserve">döntésével </w:t>
      </w:r>
      <w:r w:rsidR="00411355">
        <w:rPr>
          <w:rFonts w:ascii="Garamond" w:hAnsi="Garamond"/>
          <w:i/>
          <w:iCs/>
          <w:sz w:val="22"/>
          <w:szCs w:val="22"/>
        </w:rPr>
        <w:t xml:space="preserve">átruházza az önkormányzat feladat- és hatáskörét a település jegyzőjére, melyet az SZMSZ 1. melléklete b) pontja 3. ponttal való kiegészítésével tesz meg. </w:t>
      </w:r>
      <w:r w:rsidR="00411355">
        <w:rPr>
          <w:rFonts w:ascii="Garamond" w:hAnsi="Garamond"/>
          <w:sz w:val="22"/>
          <w:szCs w:val="22"/>
        </w:rPr>
        <w:t>Ezzel a jogszabály módosítással teljessé válik a jegyző számára a tulajdonosi jog és a közútkezelői jogról való hozzájáruló nyilatkozatot kiadásának jogalapja.</w:t>
      </w:r>
    </w:p>
    <w:p w14:paraId="2D5B914B" w14:textId="5CA464FB" w:rsidR="00973104" w:rsidRPr="00973104" w:rsidRDefault="003269E0" w:rsidP="00973104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973104">
        <w:rPr>
          <w:rFonts w:ascii="Garamond" w:hAnsi="Garamond"/>
          <w:sz w:val="22"/>
          <w:szCs w:val="22"/>
        </w:rPr>
        <w:t xml:space="preserve">Az idei évi központi költségvetésről szóló törvény Bethlen Gábor Alapnak nyújtott állami támogatásból pályázattal elnyert 1.667.600.- Ft vissza nem térítendő állami támogatás lehető teszi a projekt célok megvalósítását, nevezetesen a </w:t>
      </w:r>
      <w:r w:rsidRPr="00973104">
        <w:rPr>
          <w:rFonts w:ascii="Garamond" w:hAnsi="Garamond"/>
          <w:i/>
          <w:iCs/>
          <w:sz w:val="22"/>
          <w:szCs w:val="22"/>
        </w:rPr>
        <w:t>magyar-magyar</w:t>
      </w:r>
      <w:r w:rsidRPr="00973104">
        <w:rPr>
          <w:rFonts w:ascii="Garamond" w:hAnsi="Garamond"/>
          <w:sz w:val="22"/>
          <w:szCs w:val="22"/>
        </w:rPr>
        <w:t xml:space="preserve"> </w:t>
      </w:r>
      <w:r w:rsidR="00973104" w:rsidRPr="00973104">
        <w:rPr>
          <w:rFonts w:ascii="Garamond" w:hAnsi="Garamond"/>
          <w:i/>
          <w:iCs/>
          <w:sz w:val="22"/>
          <w:szCs w:val="22"/>
        </w:rPr>
        <w:t xml:space="preserve">közösségi tevékenységek támogatása, a testvértelepülési együttműködés a nemzeti azonosságtudat megerősítéséért </w:t>
      </w:r>
      <w:r w:rsidR="00973104" w:rsidRPr="00973104">
        <w:rPr>
          <w:rFonts w:ascii="Garamond" w:hAnsi="Garamond"/>
          <w:sz w:val="22"/>
          <w:szCs w:val="22"/>
        </w:rPr>
        <w:t xml:space="preserve">tárgyában. A projekt megvalósítási időszaka 2024. 03.15.-2025. 03. 14. napjáig terjed. A támogatás összegével való elszámolás alapja a könyvelés, amely kormányzati funkcióhoz kötött. Ezeket a kormányzati funkciókat (a továbbiakban: COFOG) a tárgyi önkormányzati rendelet 2. melléklete tartalmazza, melyet a Magyar Államkincstár Csongrád-Csanád Vármegyei Igazgatósága tart nyilván és vezet az adott szervezetre vonatkozó törzskönyvi nyilvántartásba. Az elnyert támogatás COFOG-ja </w:t>
      </w:r>
      <w:r w:rsidR="00973104" w:rsidRPr="00973104">
        <w:rPr>
          <w:rFonts w:ascii="Garamond" w:hAnsi="Garamond"/>
          <w:b/>
          <w:bCs/>
          <w:sz w:val="22"/>
          <w:szCs w:val="22"/>
        </w:rPr>
        <w:t>016040</w:t>
      </w:r>
      <w:r w:rsidR="00973104" w:rsidRPr="00973104">
        <w:rPr>
          <w:rFonts w:ascii="Garamond" w:hAnsi="Garamond"/>
          <w:sz w:val="22"/>
          <w:szCs w:val="22"/>
        </w:rPr>
        <w:t xml:space="preserve">, </w:t>
      </w:r>
      <w:r w:rsidR="00973104" w:rsidRPr="00973104">
        <w:rPr>
          <w:rFonts w:ascii="Garamond" w:hAnsi="Garamond"/>
          <w:i/>
          <w:iCs/>
          <w:sz w:val="22"/>
          <w:szCs w:val="22"/>
        </w:rPr>
        <w:t>amely nem szerepel</w:t>
      </w:r>
      <w:r w:rsidR="00973104" w:rsidRPr="00973104">
        <w:rPr>
          <w:rFonts w:ascii="Garamond" w:hAnsi="Garamond"/>
          <w:sz w:val="22"/>
          <w:szCs w:val="22"/>
        </w:rPr>
        <w:t xml:space="preserve"> az SZMSZ vonatkozó 2. mellékletében, ezért annak </w:t>
      </w:r>
      <w:r w:rsidR="00973104" w:rsidRPr="00973104">
        <w:rPr>
          <w:rFonts w:ascii="Garamond" w:hAnsi="Garamond"/>
          <w:i/>
          <w:iCs/>
          <w:sz w:val="22"/>
          <w:szCs w:val="22"/>
        </w:rPr>
        <w:t xml:space="preserve">felvétele elkerülhetetlen </w:t>
      </w:r>
      <w:r w:rsidR="00973104" w:rsidRPr="00973104">
        <w:rPr>
          <w:rFonts w:ascii="Garamond" w:hAnsi="Garamond"/>
          <w:sz w:val="22"/>
          <w:szCs w:val="22"/>
        </w:rPr>
        <w:t xml:space="preserve">a támogatás szabályszerű felhasználásával való elszámolás teljesítéséhez, amely a </w:t>
      </w:r>
      <w:r w:rsidR="00973104" w:rsidRPr="00973104">
        <w:rPr>
          <w:rFonts w:ascii="Garamond" w:hAnsi="Garamond"/>
          <w:b/>
          <w:bCs/>
          <w:sz w:val="22"/>
          <w:szCs w:val="22"/>
        </w:rPr>
        <w:t>1</w:t>
      </w:r>
      <w:r w:rsidR="00C22429">
        <w:rPr>
          <w:rFonts w:ascii="Garamond" w:hAnsi="Garamond"/>
          <w:b/>
          <w:bCs/>
          <w:sz w:val="22"/>
          <w:szCs w:val="22"/>
        </w:rPr>
        <w:t>0</w:t>
      </w:r>
      <w:r w:rsidR="00973104" w:rsidRPr="00973104">
        <w:rPr>
          <w:rFonts w:ascii="Garamond" w:hAnsi="Garamond"/>
          <w:b/>
          <w:bCs/>
          <w:sz w:val="22"/>
          <w:szCs w:val="22"/>
        </w:rPr>
        <w:t xml:space="preserve">. sorszám alatti </w:t>
      </w:r>
      <w:r w:rsidR="00973104" w:rsidRPr="00973104">
        <w:rPr>
          <w:rFonts w:ascii="Garamond" w:hAnsi="Garamond"/>
          <w:sz w:val="22"/>
          <w:szCs w:val="22"/>
        </w:rPr>
        <w:t>kiegészítéssel oldható meg úgy, hogy az eddigi sorszámok tolódni fognak és 63. sorszámmal érnek véget.</w:t>
      </w:r>
    </w:p>
    <w:p w14:paraId="1B188936" w14:textId="2CE1C390" w:rsidR="003269E0" w:rsidRPr="00973104" w:rsidRDefault="003269E0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640793F2" w14:textId="42ECF7F7" w:rsidR="00E36F21" w:rsidRPr="000824FF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 w:rsidRPr="000824FF">
        <w:rPr>
          <w:rFonts w:ascii="Garamond" w:hAnsi="Garamond"/>
          <w:i/>
          <w:sz w:val="22"/>
          <w:szCs w:val="22"/>
        </w:rPr>
        <w:t>eredeti jogalkotói hatáskörében eljárva</w:t>
      </w:r>
      <w:r w:rsidRPr="000824FF"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Mötv.) 57. §-a és még több szakasza is megerősíti ezen jogát a </w:t>
      </w:r>
      <w:r w:rsidRPr="000824FF">
        <w:rPr>
          <w:rFonts w:ascii="Garamond" w:hAnsi="Garamond"/>
          <w:sz w:val="22"/>
          <w:szCs w:val="22"/>
        </w:rPr>
        <w:lastRenderedPageBreak/>
        <w:t xml:space="preserve">képviselő-testületnek, ami nem csak jog, hanem kötelezettség is egyben a </w:t>
      </w:r>
      <w:proofErr w:type="spellStart"/>
      <w:r w:rsidRPr="000824FF">
        <w:rPr>
          <w:rFonts w:ascii="Garamond" w:hAnsi="Garamond"/>
          <w:sz w:val="22"/>
          <w:szCs w:val="22"/>
        </w:rPr>
        <w:t>Jat</w:t>
      </w:r>
      <w:proofErr w:type="spellEnd"/>
      <w:r w:rsidRPr="000824FF">
        <w:rPr>
          <w:rFonts w:ascii="Garamond" w:hAnsi="Garamond"/>
          <w:sz w:val="22"/>
          <w:szCs w:val="22"/>
        </w:rPr>
        <w:t>.  5.  § (</w:t>
      </w:r>
      <w:r w:rsidR="004255CE" w:rsidRPr="000824FF">
        <w:rPr>
          <w:rFonts w:ascii="Garamond" w:hAnsi="Garamond"/>
          <w:sz w:val="22"/>
          <w:szCs w:val="22"/>
        </w:rPr>
        <w:t>7</w:t>
      </w:r>
      <w:r w:rsidRPr="000824FF">
        <w:rPr>
          <w:rFonts w:ascii="Garamond" w:hAnsi="Garamond"/>
          <w:sz w:val="22"/>
          <w:szCs w:val="22"/>
        </w:rPr>
        <w:t xml:space="preserve">) bekezdésében rögzítettek értelmében, </w:t>
      </w:r>
      <w:r w:rsidR="00764525" w:rsidRPr="000824FF">
        <w:rPr>
          <w:rFonts w:ascii="Garamond" w:hAnsi="Garamond"/>
          <w:sz w:val="22"/>
          <w:szCs w:val="22"/>
        </w:rPr>
        <w:t xml:space="preserve"> mert </w:t>
      </w:r>
      <w:r w:rsidRPr="000824FF">
        <w:rPr>
          <w:rFonts w:ascii="Garamond" w:hAnsi="Garamond"/>
          <w:sz w:val="22"/>
          <w:szCs w:val="22"/>
        </w:rPr>
        <w:t xml:space="preserve">az adott tárgykörben a jogosított köteles a jogszabály megalkotására. </w:t>
      </w:r>
    </w:p>
    <w:p w14:paraId="6B65F7F8" w14:textId="77777777" w:rsidR="002723F5" w:rsidRDefault="000824FF" w:rsidP="000824FF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>Ezt a változást a</w:t>
      </w:r>
      <w:r>
        <w:rPr>
          <w:rFonts w:ascii="Garamond" w:hAnsi="Garamond"/>
          <w:sz w:val="22"/>
          <w:szCs w:val="22"/>
        </w:rPr>
        <w:t xml:space="preserve"> Csanytelek Község Önkormányzata szervezeti és működési szabályzatáról szóló 14/2015. (XI. 27.) önkormányzati rendelet</w:t>
      </w:r>
      <w:r w:rsidR="00700C7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(a továbbiakban: SZMSZ) </w:t>
      </w:r>
      <w:r w:rsidR="002723F5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. mellékletéből</w:t>
      </w:r>
      <w:r w:rsidRPr="000824FF">
        <w:rPr>
          <w:rFonts w:ascii="Garamond" w:hAnsi="Garamond"/>
          <w:sz w:val="22"/>
          <w:szCs w:val="22"/>
        </w:rPr>
        <w:t xml:space="preserve"> is törölni kell, hivatkozva </w:t>
      </w:r>
      <w:r w:rsidR="002723F5" w:rsidRPr="00C33423">
        <w:rPr>
          <w:rFonts w:ascii="Garamond" w:hAnsi="Garamond"/>
          <w:i/>
          <w:iCs/>
          <w:sz w:val="22"/>
          <w:szCs w:val="22"/>
        </w:rPr>
        <w:t xml:space="preserve"> </w:t>
      </w:r>
      <w:r w:rsidR="002723F5" w:rsidRPr="00C33423">
        <w:rPr>
          <w:rFonts w:ascii="Garamond" w:hAnsi="Garamond"/>
          <w:sz w:val="22"/>
          <w:szCs w:val="22"/>
        </w:rPr>
        <w:t>az egészségügyi alapellátásról szóló 2015. évi CXXIII.</w:t>
      </w:r>
      <w:r w:rsidR="002723F5" w:rsidRPr="00C33423">
        <w:rPr>
          <w:rFonts w:ascii="Garamond" w:hAnsi="Garamond"/>
          <w:i/>
          <w:iCs/>
          <w:sz w:val="22"/>
          <w:szCs w:val="22"/>
        </w:rPr>
        <w:t xml:space="preserve">  </w:t>
      </w:r>
      <w:r w:rsidR="002723F5" w:rsidRPr="00C33423">
        <w:rPr>
          <w:rFonts w:ascii="Garamond" w:hAnsi="Garamond"/>
          <w:sz w:val="22"/>
          <w:szCs w:val="22"/>
        </w:rPr>
        <w:t xml:space="preserve">törvény (a továbbiakban: </w:t>
      </w:r>
      <w:proofErr w:type="spellStart"/>
      <w:r w:rsidR="002723F5" w:rsidRPr="00C33423">
        <w:rPr>
          <w:rFonts w:ascii="Garamond" w:hAnsi="Garamond"/>
          <w:sz w:val="22"/>
          <w:szCs w:val="22"/>
        </w:rPr>
        <w:t>Eatv</w:t>
      </w:r>
      <w:proofErr w:type="spellEnd"/>
      <w:r w:rsidR="002723F5" w:rsidRPr="00C33423">
        <w:rPr>
          <w:rFonts w:ascii="Garamond" w:hAnsi="Garamond"/>
          <w:sz w:val="22"/>
          <w:szCs w:val="22"/>
        </w:rPr>
        <w:t>.) 6/</w:t>
      </w:r>
      <w:r w:rsidR="002723F5">
        <w:rPr>
          <w:rFonts w:ascii="Garamond" w:hAnsi="Garamond"/>
          <w:sz w:val="22"/>
          <w:szCs w:val="22"/>
        </w:rPr>
        <w:t xml:space="preserve">B. §-ban </w:t>
      </w:r>
      <w:r w:rsidRPr="000824FF">
        <w:rPr>
          <w:rFonts w:ascii="Garamond" w:hAnsi="Garamond"/>
          <w:sz w:val="22"/>
          <w:szCs w:val="22"/>
        </w:rPr>
        <w:t xml:space="preserve"> írtakra, tehát a</w:t>
      </w:r>
      <w:r>
        <w:rPr>
          <w:rFonts w:ascii="Garamond" w:hAnsi="Garamond"/>
          <w:sz w:val="22"/>
          <w:szCs w:val="22"/>
        </w:rPr>
        <w:t xml:space="preserve">z SZMSZ </w:t>
      </w:r>
      <w:r w:rsidRPr="000824FF">
        <w:rPr>
          <w:rFonts w:ascii="Garamond" w:hAnsi="Garamond"/>
          <w:sz w:val="22"/>
          <w:szCs w:val="22"/>
        </w:rPr>
        <w:t xml:space="preserve"> </w:t>
      </w:r>
    </w:p>
    <w:p w14:paraId="4DD875BE" w14:textId="77777777" w:rsidR="002723F5" w:rsidRDefault="002723F5" w:rsidP="000824FF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69F169EE" w14:textId="6F938260" w:rsidR="000824FF" w:rsidRPr="000824FF" w:rsidRDefault="000824FF" w:rsidP="000824FF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>soron következő módosításakor</w:t>
      </w:r>
      <w:r w:rsidR="002723F5">
        <w:rPr>
          <w:rFonts w:ascii="Garamond" w:hAnsi="Garamond"/>
          <w:sz w:val="22"/>
          <w:szCs w:val="22"/>
        </w:rPr>
        <w:t>,</w:t>
      </w:r>
      <w:r w:rsidRPr="000824FF">
        <w:rPr>
          <w:rFonts w:ascii="Garamond" w:hAnsi="Garamond"/>
          <w:sz w:val="22"/>
          <w:szCs w:val="22"/>
        </w:rPr>
        <w:t xml:space="preserve"> </w:t>
      </w:r>
      <w:r w:rsidRPr="000824FF">
        <w:rPr>
          <w:rFonts w:ascii="Garamond" w:hAnsi="Garamond"/>
          <w:sz w:val="22"/>
          <w:szCs w:val="22"/>
          <w:u w:val="single"/>
        </w:rPr>
        <w:t xml:space="preserve">2023. június </w:t>
      </w:r>
      <w:r w:rsidR="002723F5">
        <w:rPr>
          <w:rFonts w:ascii="Garamond" w:hAnsi="Garamond"/>
          <w:sz w:val="22"/>
          <w:szCs w:val="22"/>
          <w:u w:val="single"/>
        </w:rPr>
        <w:t>30</w:t>
      </w:r>
      <w:r w:rsidRPr="000824FF">
        <w:rPr>
          <w:rFonts w:ascii="Garamond" w:hAnsi="Garamond"/>
          <w:sz w:val="22"/>
          <w:szCs w:val="22"/>
          <w:u w:val="single"/>
        </w:rPr>
        <w:t xml:space="preserve"> napjáig</w:t>
      </w:r>
      <w:r w:rsidRPr="000824FF">
        <w:rPr>
          <w:rFonts w:ascii="Garamond" w:hAnsi="Garamond"/>
          <w:sz w:val="22"/>
          <w:szCs w:val="22"/>
        </w:rPr>
        <w:t xml:space="preserve"> kell végrehajtani. Ennek egyszerű oka, hogy </w:t>
      </w:r>
      <w:r w:rsidR="002723F5">
        <w:rPr>
          <w:rFonts w:ascii="Garamond" w:hAnsi="Garamond"/>
          <w:sz w:val="22"/>
          <w:szCs w:val="22"/>
        </w:rPr>
        <w:t xml:space="preserve">olyan feladat ellátása nem szerepelhet önkormányzati ellátásként saját dokumentumaiban, amely már nem önkormányzati, hanem állam által kijelölt szervezet hatáskörébe tartozik. </w:t>
      </w:r>
    </w:p>
    <w:p w14:paraId="170907D2" w14:textId="6D79C732" w:rsidR="00E36F21" w:rsidRPr="000824FF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51884089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</w:t>
      </w:r>
      <w:r w:rsidR="002723F5">
        <w:rPr>
          <w:rFonts w:ascii="Garamond" w:hAnsi="Garamond"/>
          <w:i/>
          <w:sz w:val="22"/>
          <w:szCs w:val="22"/>
        </w:rPr>
        <w:t>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6839407D" w14:textId="2BD633D1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2723F5">
        <w:rPr>
          <w:rFonts w:ascii="Garamond" w:hAnsi="Garamond"/>
          <w:sz w:val="22"/>
          <w:szCs w:val="22"/>
        </w:rPr>
        <w:t>1</w:t>
      </w:r>
      <w:r w:rsidR="007F6D69">
        <w:rPr>
          <w:rFonts w:ascii="Garamond" w:hAnsi="Garamond"/>
          <w:sz w:val="22"/>
          <w:szCs w:val="22"/>
        </w:rPr>
        <w:t xml:space="preserve">. </w:t>
      </w:r>
      <w:r w:rsidR="005C356C">
        <w:rPr>
          <w:rFonts w:ascii="Garamond" w:hAnsi="Garamond"/>
          <w:sz w:val="22"/>
          <w:szCs w:val="22"/>
        </w:rPr>
        <w:t>melléklete helyébe a módosító rendelet 1. melléklete</w:t>
      </w:r>
      <w:r w:rsidR="00EF6A0D">
        <w:rPr>
          <w:rFonts w:ascii="Garamond" w:hAnsi="Garamond"/>
          <w:sz w:val="22"/>
          <w:szCs w:val="22"/>
        </w:rPr>
        <w:t>, a 2. melléklet helyébe a módosító rendelet 2. melléklete</w:t>
      </w:r>
      <w:r w:rsidR="005C356C">
        <w:rPr>
          <w:rFonts w:ascii="Garamond" w:hAnsi="Garamond"/>
          <w:sz w:val="22"/>
          <w:szCs w:val="22"/>
        </w:rPr>
        <w:t xml:space="preserve"> </w:t>
      </w:r>
      <w:r w:rsidR="006601B8">
        <w:rPr>
          <w:rFonts w:ascii="Garamond" w:hAnsi="Garamond"/>
          <w:sz w:val="22"/>
          <w:szCs w:val="22"/>
        </w:rPr>
        <w:t>lép</w:t>
      </w:r>
      <w:r w:rsidR="00A3415E">
        <w:rPr>
          <w:rFonts w:ascii="Garamond" w:hAnsi="Garamond"/>
          <w:sz w:val="22"/>
          <w:szCs w:val="22"/>
        </w:rPr>
        <w:t>.</w:t>
      </w:r>
      <w:r w:rsidR="007F6D69">
        <w:rPr>
          <w:rFonts w:ascii="Garamond" w:hAnsi="Garamond"/>
          <w:sz w:val="22"/>
          <w:szCs w:val="22"/>
        </w:rPr>
        <w:t xml:space="preserve"> </w:t>
      </w:r>
    </w:p>
    <w:p w14:paraId="3089ECB4" w14:textId="77777777" w:rsidR="00A3415E" w:rsidRDefault="00A3415E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593C89BE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  <w:r w:rsidR="00181816">
        <w:rPr>
          <w:rFonts w:ascii="Garamond" w:hAnsi="Garamond"/>
          <w:b/>
          <w:sz w:val="22"/>
          <w:szCs w:val="22"/>
        </w:rPr>
        <w:t xml:space="preserve"> 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66997C01" w14:textId="30AB6629" w:rsidR="00E36F21" w:rsidRPr="00253493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 w:rsidR="00EF6A0D">
        <w:rPr>
          <w:rFonts w:ascii="Garamond" w:hAnsi="Garamond"/>
          <w:sz w:val="22"/>
          <w:szCs w:val="22"/>
        </w:rPr>
        <w:t xml:space="preserve">. </w:t>
      </w:r>
      <w:r w:rsidR="0018181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EF6A0D">
        <w:rPr>
          <w:rFonts w:ascii="Garamond" w:hAnsi="Garamond"/>
          <w:i/>
          <w:sz w:val="22"/>
          <w:szCs w:val="22"/>
        </w:rPr>
        <w:t>4.</w:t>
      </w:r>
      <w:r>
        <w:rPr>
          <w:rFonts w:ascii="Garamond" w:hAnsi="Garamond"/>
          <w:i/>
          <w:sz w:val="22"/>
          <w:szCs w:val="22"/>
        </w:rPr>
        <w:t xml:space="preserve"> </w:t>
      </w:r>
      <w:r w:rsidR="00EF6A0D">
        <w:rPr>
          <w:rFonts w:ascii="Garamond" w:hAnsi="Garamond"/>
          <w:i/>
          <w:sz w:val="22"/>
          <w:szCs w:val="22"/>
        </w:rPr>
        <w:t xml:space="preserve"> szeptember</w:t>
      </w:r>
      <w:r w:rsidR="005C356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01. 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helyi lapban, a Csanyi Hírmondóban kap jegyzői tájékoztatást az önkormányzati rendelet hatályba lépéséről.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67EA22BE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573D9C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 </w:t>
      </w:r>
      <w:r w:rsidR="00573D9C">
        <w:rPr>
          <w:rFonts w:ascii="Garamond" w:hAnsi="Garamond"/>
          <w:sz w:val="22"/>
          <w:szCs w:val="22"/>
        </w:rPr>
        <w:t>augusztus 21</w:t>
      </w:r>
      <w:r w:rsidR="005C356C">
        <w:rPr>
          <w:rFonts w:ascii="Garamond" w:hAnsi="Garamond"/>
          <w:sz w:val="22"/>
          <w:szCs w:val="22"/>
        </w:rPr>
        <w:t>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824FF"/>
    <w:rsid w:val="00181816"/>
    <w:rsid w:val="001A5270"/>
    <w:rsid w:val="001A701C"/>
    <w:rsid w:val="001E7964"/>
    <w:rsid w:val="001F02C1"/>
    <w:rsid w:val="001F72B1"/>
    <w:rsid w:val="00213333"/>
    <w:rsid w:val="00217A73"/>
    <w:rsid w:val="0022249D"/>
    <w:rsid w:val="00231225"/>
    <w:rsid w:val="002477CA"/>
    <w:rsid w:val="00253493"/>
    <w:rsid w:val="002723F5"/>
    <w:rsid w:val="002A7140"/>
    <w:rsid w:val="002D6EBF"/>
    <w:rsid w:val="0031596F"/>
    <w:rsid w:val="003269E0"/>
    <w:rsid w:val="00391E44"/>
    <w:rsid w:val="00394CA9"/>
    <w:rsid w:val="00411355"/>
    <w:rsid w:val="0042347D"/>
    <w:rsid w:val="004255CE"/>
    <w:rsid w:val="004D0B44"/>
    <w:rsid w:val="00517348"/>
    <w:rsid w:val="005275D4"/>
    <w:rsid w:val="005406D0"/>
    <w:rsid w:val="00573D9C"/>
    <w:rsid w:val="005C180F"/>
    <w:rsid w:val="005C356C"/>
    <w:rsid w:val="005C5596"/>
    <w:rsid w:val="005F1610"/>
    <w:rsid w:val="0065560E"/>
    <w:rsid w:val="006601B8"/>
    <w:rsid w:val="00660F6B"/>
    <w:rsid w:val="006D47B7"/>
    <w:rsid w:val="00700C78"/>
    <w:rsid w:val="00732863"/>
    <w:rsid w:val="00757D17"/>
    <w:rsid w:val="00764525"/>
    <w:rsid w:val="00764EF8"/>
    <w:rsid w:val="0078145B"/>
    <w:rsid w:val="007E37CF"/>
    <w:rsid w:val="007F6D69"/>
    <w:rsid w:val="00814647"/>
    <w:rsid w:val="008373D7"/>
    <w:rsid w:val="00847524"/>
    <w:rsid w:val="0085742C"/>
    <w:rsid w:val="00882729"/>
    <w:rsid w:val="00884370"/>
    <w:rsid w:val="00884A60"/>
    <w:rsid w:val="008E3FF6"/>
    <w:rsid w:val="00953907"/>
    <w:rsid w:val="00954EA3"/>
    <w:rsid w:val="00973104"/>
    <w:rsid w:val="009A2D15"/>
    <w:rsid w:val="00A3415E"/>
    <w:rsid w:val="00A42895"/>
    <w:rsid w:val="00AE53C1"/>
    <w:rsid w:val="00BE7F98"/>
    <w:rsid w:val="00C22429"/>
    <w:rsid w:val="00C33423"/>
    <w:rsid w:val="00CE0C3C"/>
    <w:rsid w:val="00CE30BF"/>
    <w:rsid w:val="00D05284"/>
    <w:rsid w:val="00D47030"/>
    <w:rsid w:val="00D77B76"/>
    <w:rsid w:val="00D9506C"/>
    <w:rsid w:val="00DB6C8E"/>
    <w:rsid w:val="00DD24BB"/>
    <w:rsid w:val="00E36F21"/>
    <w:rsid w:val="00EE1CE4"/>
    <w:rsid w:val="00EF6A0D"/>
    <w:rsid w:val="00F10A0C"/>
    <w:rsid w:val="00F22A69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1033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2021-03-22T13:20:00Z</cp:lastPrinted>
  <dcterms:created xsi:type="dcterms:W3CDTF">2024-08-22T06:35:00Z</dcterms:created>
  <dcterms:modified xsi:type="dcterms:W3CDTF">2024-08-26T08:56:00Z</dcterms:modified>
</cp:coreProperties>
</file>